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F7648" w14:textId="234C9A3C" w:rsidR="00670D87" w:rsidRDefault="00670D87" w:rsidP="00670D87">
      <w:pPr>
        <w:spacing w:before="120"/>
        <w:jc w:val="center"/>
        <w:rPr>
          <w:rFonts w:ascii="Times New Roman" w:hAnsi="Times New Roman" w:cs="Times New Roman"/>
          <w:b/>
          <w:bCs/>
          <w:sz w:val="28"/>
          <w:szCs w:val="28"/>
        </w:rPr>
      </w:pPr>
      <w:r w:rsidRPr="00766DB6">
        <w:rPr>
          <w:rFonts w:ascii="Times New Roman" w:hAnsi="Times New Roman" w:cs="Times New Roman"/>
          <w:b/>
          <w:bCs/>
          <w:noProof/>
        </w:rPr>
        <w:drawing>
          <wp:anchor distT="0" distB="0" distL="114300" distR="114300" simplePos="0" relativeHeight="251659264" behindDoc="0" locked="0" layoutInCell="1" allowOverlap="1" wp14:anchorId="4CC5C2BE" wp14:editId="5A155D36">
            <wp:simplePos x="0" y="0"/>
            <wp:positionH relativeFrom="margin">
              <wp:posOffset>-880533</wp:posOffset>
            </wp:positionH>
            <wp:positionV relativeFrom="margin">
              <wp:posOffset>-880533</wp:posOffset>
            </wp:positionV>
            <wp:extent cx="7556500" cy="1504315"/>
            <wp:effectExtent l="0" t="0" r="0" b="0"/>
            <wp:wrapSquare wrapText="bothSides"/>
            <wp:docPr id="9" name="Obrázek 8">
              <a:extLst xmlns:a="http://schemas.openxmlformats.org/drawingml/2006/main">
                <a:ext uri="{FF2B5EF4-FFF2-40B4-BE49-F238E27FC236}">
                  <a16:creationId xmlns:a16="http://schemas.microsoft.com/office/drawing/2014/main" id="{3D908A55-14A4-7E4A-BD1F-B46390EBB1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8">
                      <a:extLst>
                        <a:ext uri="{FF2B5EF4-FFF2-40B4-BE49-F238E27FC236}">
                          <a16:creationId xmlns:a16="http://schemas.microsoft.com/office/drawing/2014/main" id="{3D908A55-14A4-7E4A-BD1F-B46390EBB1A7}"/>
                        </a:ext>
                      </a:extLst>
                    </pic:cNvPr>
                    <pic:cNvPicPr>
                      <a:picLocks noChangeAspect="1"/>
                    </pic:cNvPicPr>
                  </pic:nvPicPr>
                  <pic:blipFill rotWithShape="1">
                    <a:blip r:embed="rId5">
                      <a:extLst>
                        <a:ext uri="{28A0092B-C50C-407E-A947-70E740481C1C}">
                          <a14:useLocalDpi xmlns:a14="http://schemas.microsoft.com/office/drawing/2010/main" val="0"/>
                        </a:ext>
                      </a:extLst>
                    </a:blip>
                    <a:srcRect t="3378" b="83705"/>
                    <a:stretch/>
                  </pic:blipFill>
                  <pic:spPr bwMode="auto">
                    <a:xfrm>
                      <a:off x="0" y="0"/>
                      <a:ext cx="7556500" cy="1504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7E6098" w14:textId="77777777" w:rsidR="00670D87" w:rsidRDefault="00670D87" w:rsidP="00670D87">
      <w:pPr>
        <w:spacing w:before="120"/>
        <w:jc w:val="center"/>
        <w:rPr>
          <w:rFonts w:ascii="Times New Roman" w:hAnsi="Times New Roman" w:cs="Times New Roman"/>
          <w:b/>
          <w:bCs/>
          <w:sz w:val="28"/>
          <w:szCs w:val="28"/>
        </w:rPr>
      </w:pPr>
    </w:p>
    <w:p w14:paraId="50F30AFC" w14:textId="6E59722F" w:rsidR="00670D87" w:rsidRPr="00DE7D39" w:rsidRDefault="00670D87" w:rsidP="00670D87">
      <w:pPr>
        <w:spacing w:before="120"/>
        <w:jc w:val="center"/>
        <w:rPr>
          <w:rFonts w:ascii="Times New Roman" w:hAnsi="Times New Roman" w:cs="Times New Roman"/>
          <w:b/>
          <w:bCs/>
          <w:sz w:val="28"/>
          <w:szCs w:val="28"/>
        </w:rPr>
      </w:pPr>
      <w:r w:rsidRPr="00DE7D39">
        <w:rPr>
          <w:rFonts w:ascii="Times New Roman" w:hAnsi="Times New Roman" w:cs="Times New Roman"/>
          <w:b/>
          <w:bCs/>
          <w:sz w:val="28"/>
          <w:szCs w:val="28"/>
        </w:rPr>
        <w:t>Informace o mezinárodní činnosti odborového svazu skla, keramiky a porcelánu od 1. 1. 2021</w:t>
      </w:r>
    </w:p>
    <w:p w14:paraId="16F9363F" w14:textId="77777777" w:rsidR="00670D87" w:rsidRDefault="00670D87" w:rsidP="00670D87">
      <w:pPr>
        <w:spacing w:before="120" w:line="276" w:lineRule="auto"/>
        <w:jc w:val="center"/>
        <w:rPr>
          <w:rFonts w:ascii="Times New Roman" w:hAnsi="Times New Roman" w:cs="Times New Roman"/>
          <w:b/>
          <w:bCs/>
        </w:rPr>
      </w:pPr>
    </w:p>
    <w:p w14:paraId="71A2DA69" w14:textId="77777777" w:rsidR="00670D87" w:rsidRDefault="00670D87" w:rsidP="00670D87">
      <w:pPr>
        <w:spacing w:before="120" w:line="276" w:lineRule="auto"/>
        <w:jc w:val="both"/>
        <w:rPr>
          <w:rFonts w:ascii="Times New Roman" w:hAnsi="Times New Roman" w:cs="Times New Roman"/>
        </w:rPr>
      </w:pPr>
      <w:r>
        <w:rPr>
          <w:rFonts w:ascii="Times New Roman" w:hAnsi="Times New Roman" w:cs="Times New Roman"/>
        </w:rPr>
        <w:t xml:space="preserve">Mezinárodní činnost je stejně jako v roce 2020 i v tomto roce ovlivněna situací spojenou s onemocněním COVID-19. Z toho důvodu není plánovaná žádná zahraniční činnost na bázi osobního setkání. Veškerá zahraniční činnost probíhá formou online konferencí. Za odborový svaz skla, keramiky a porcelánu se mezinárodních online konferencí účastní dle potřeby pan předseda Mgr. Ondřej </w:t>
      </w:r>
      <w:proofErr w:type="spellStart"/>
      <w:r>
        <w:rPr>
          <w:rFonts w:ascii="Times New Roman" w:hAnsi="Times New Roman" w:cs="Times New Roman"/>
        </w:rPr>
        <w:t>Fedoročko</w:t>
      </w:r>
      <w:proofErr w:type="spellEnd"/>
      <w:r>
        <w:rPr>
          <w:rFonts w:ascii="Times New Roman" w:hAnsi="Times New Roman" w:cs="Times New Roman"/>
        </w:rPr>
        <w:t xml:space="preserve"> a Hrabě Tereza, </w:t>
      </w:r>
      <w:r w:rsidRPr="00C61C54">
        <w:rPr>
          <w:rFonts w:ascii="Times New Roman" w:hAnsi="Times New Roman" w:cs="Times New Roman"/>
        </w:rPr>
        <w:t>specialista pro BOZP a organizační činnost.</w:t>
      </w:r>
      <w:r>
        <w:rPr>
          <w:rFonts w:ascii="Times New Roman" w:hAnsi="Times New Roman" w:cs="Times New Roman"/>
        </w:rPr>
        <w:t xml:space="preserve"> Zprávy z mezinárodní činnosti jsou pravidelně zveřejňovány na našich stránkách v rubrice </w:t>
      </w:r>
      <w:r w:rsidRPr="00DE7D39">
        <w:rPr>
          <w:rFonts w:ascii="Times New Roman" w:hAnsi="Times New Roman" w:cs="Times New Roman"/>
          <w:i/>
          <w:iCs/>
        </w:rPr>
        <w:t>naše činnost</w:t>
      </w:r>
      <w:r w:rsidRPr="00DE7D39">
        <w:rPr>
          <w:rFonts w:ascii="Times New Roman" w:hAnsi="Times New Roman" w:cs="Times New Roman"/>
        </w:rPr>
        <w:t xml:space="preserve">, podrubrice </w:t>
      </w:r>
      <w:r w:rsidRPr="00DE7D39">
        <w:rPr>
          <w:rFonts w:ascii="Times New Roman" w:hAnsi="Times New Roman" w:cs="Times New Roman"/>
          <w:i/>
          <w:iCs/>
        </w:rPr>
        <w:t>zahraniční činnost.</w:t>
      </w:r>
    </w:p>
    <w:p w14:paraId="0FA1F1F2" w14:textId="77777777" w:rsidR="00670D87" w:rsidRDefault="00670D87" w:rsidP="00670D87">
      <w:pPr>
        <w:spacing w:before="120"/>
        <w:jc w:val="both"/>
        <w:rPr>
          <w:rFonts w:ascii="Times New Roman" w:hAnsi="Times New Roman" w:cs="Times New Roman"/>
        </w:rPr>
      </w:pPr>
    </w:p>
    <w:p w14:paraId="52CB97DF" w14:textId="77777777" w:rsidR="00670D87" w:rsidRDefault="00670D87" w:rsidP="00670D87">
      <w:pPr>
        <w:spacing w:before="120"/>
        <w:jc w:val="both"/>
        <w:rPr>
          <w:rFonts w:ascii="Times New Roman" w:hAnsi="Times New Roman" w:cs="Times New Roman"/>
          <w:u w:val="single"/>
        </w:rPr>
      </w:pPr>
      <w:r w:rsidRPr="00C61C54">
        <w:rPr>
          <w:rFonts w:ascii="Times New Roman" w:hAnsi="Times New Roman" w:cs="Times New Roman"/>
          <w:u w:val="single"/>
        </w:rPr>
        <w:t>Od 1. 1. 2021 se uskutečnily tyto mezinárodní činnosti:</w:t>
      </w:r>
    </w:p>
    <w:p w14:paraId="678E2060" w14:textId="77777777" w:rsidR="00670D87" w:rsidRPr="00DE7D39" w:rsidRDefault="00670D87" w:rsidP="00670D87">
      <w:pPr>
        <w:pStyle w:val="Normlnweb"/>
        <w:numPr>
          <w:ilvl w:val="0"/>
          <w:numId w:val="1"/>
        </w:numPr>
        <w:spacing w:before="240" w:beforeAutospacing="0" w:after="0" w:afterAutospacing="0"/>
        <w:jc w:val="both"/>
        <w:textAlignment w:val="baseline"/>
        <w:rPr>
          <w:color w:val="000000"/>
        </w:rPr>
      </w:pPr>
      <w:r w:rsidRPr="00DE7D39">
        <w:t xml:space="preserve">16. 3. 2021 - </w:t>
      </w:r>
      <w:r w:rsidRPr="00DE7D39">
        <w:rPr>
          <w:color w:val="000000"/>
        </w:rPr>
        <w:t xml:space="preserve">online schůze </w:t>
      </w:r>
      <w:proofErr w:type="spellStart"/>
      <w:r w:rsidRPr="00DE7D39">
        <w:rPr>
          <w:color w:val="000000"/>
        </w:rPr>
        <w:t>IndustriAll</w:t>
      </w:r>
      <w:proofErr w:type="spellEnd"/>
      <w:r w:rsidRPr="00DE7D39">
        <w:rPr>
          <w:color w:val="000000"/>
        </w:rPr>
        <w:t xml:space="preserve"> pro automobilové odvětví</w:t>
      </w:r>
    </w:p>
    <w:p w14:paraId="527CDEF6" w14:textId="77777777" w:rsidR="00670D87" w:rsidRPr="00DE7D39" w:rsidRDefault="00670D87" w:rsidP="00670D87">
      <w:pPr>
        <w:pStyle w:val="Normlnweb"/>
        <w:numPr>
          <w:ilvl w:val="0"/>
          <w:numId w:val="1"/>
        </w:numPr>
        <w:spacing w:before="240" w:beforeAutospacing="0" w:after="0" w:afterAutospacing="0"/>
        <w:jc w:val="both"/>
        <w:textAlignment w:val="baseline"/>
        <w:rPr>
          <w:color w:val="000000"/>
        </w:rPr>
      </w:pPr>
      <w:r w:rsidRPr="00DE7D39">
        <w:t xml:space="preserve">14. 4. - 15. 4. 2021 - </w:t>
      </w:r>
      <w:r w:rsidRPr="00DE7D39">
        <w:rPr>
          <w:color w:val="000000"/>
        </w:rPr>
        <w:t xml:space="preserve">online zasedání Výkonného výboru </w:t>
      </w:r>
      <w:proofErr w:type="spellStart"/>
      <w:r w:rsidRPr="00DE7D39">
        <w:rPr>
          <w:color w:val="000000"/>
        </w:rPr>
        <w:t>IndustriAll</w:t>
      </w:r>
      <w:proofErr w:type="spellEnd"/>
    </w:p>
    <w:p w14:paraId="1B826646" w14:textId="77777777" w:rsidR="00670D87" w:rsidRPr="00DE7D39" w:rsidRDefault="00670D87" w:rsidP="00670D87">
      <w:pPr>
        <w:pStyle w:val="Normlnweb"/>
        <w:numPr>
          <w:ilvl w:val="0"/>
          <w:numId w:val="1"/>
        </w:numPr>
        <w:spacing w:before="240" w:beforeAutospacing="0" w:after="0" w:afterAutospacing="0"/>
        <w:jc w:val="both"/>
        <w:textAlignment w:val="baseline"/>
        <w:rPr>
          <w:color w:val="000000"/>
        </w:rPr>
      </w:pPr>
      <w:r w:rsidRPr="00DE7D39">
        <w:t xml:space="preserve">18. 5. 2021 - </w:t>
      </w:r>
      <w:r w:rsidRPr="00DE7D39">
        <w:rPr>
          <w:color w:val="000000"/>
        </w:rPr>
        <w:t xml:space="preserve">online schůze </w:t>
      </w:r>
      <w:proofErr w:type="spellStart"/>
      <w:r w:rsidRPr="00DE7D39">
        <w:rPr>
          <w:color w:val="000000"/>
        </w:rPr>
        <w:t>IndustriAll</w:t>
      </w:r>
      <w:proofErr w:type="spellEnd"/>
      <w:r w:rsidRPr="00DE7D39">
        <w:rPr>
          <w:color w:val="000000"/>
        </w:rPr>
        <w:t xml:space="preserve"> pro automobilové odvětví</w:t>
      </w:r>
    </w:p>
    <w:p w14:paraId="00AC07EF" w14:textId="77777777" w:rsidR="00670D87" w:rsidRDefault="00670D87" w:rsidP="00670D87">
      <w:pPr>
        <w:rPr>
          <w:b/>
          <w:bCs/>
          <w:sz w:val="28"/>
          <w:szCs w:val="28"/>
        </w:rPr>
      </w:pPr>
    </w:p>
    <w:p w14:paraId="62B90555" w14:textId="77777777" w:rsidR="00670D87" w:rsidRPr="00A973DB" w:rsidRDefault="00670D87" w:rsidP="00670D87">
      <w:pPr>
        <w:pStyle w:val="Normlnweb"/>
        <w:spacing w:before="240" w:beforeAutospacing="0" w:after="0" w:afterAutospacing="0"/>
        <w:jc w:val="center"/>
        <w:textAlignment w:val="baseline"/>
        <w:rPr>
          <w:b/>
          <w:bCs/>
          <w:color w:val="000000"/>
          <w:sz w:val="36"/>
          <w:szCs w:val="36"/>
        </w:rPr>
      </w:pPr>
      <w:r w:rsidRPr="00A973DB">
        <w:rPr>
          <w:b/>
          <w:snapToGrid w:val="0"/>
          <w:sz w:val="36"/>
          <w:szCs w:val="36"/>
        </w:rPr>
        <w:t>Zpráva o účasti zástupců OS na </w:t>
      </w:r>
      <w:r w:rsidRPr="00A973DB">
        <w:rPr>
          <w:b/>
          <w:bCs/>
          <w:color w:val="000000"/>
          <w:sz w:val="36"/>
          <w:szCs w:val="36"/>
        </w:rPr>
        <w:t xml:space="preserve">schůzi </w:t>
      </w:r>
      <w:proofErr w:type="spellStart"/>
      <w:r w:rsidRPr="00A973DB">
        <w:rPr>
          <w:b/>
          <w:bCs/>
          <w:color w:val="000000"/>
          <w:sz w:val="36"/>
          <w:szCs w:val="36"/>
        </w:rPr>
        <w:t>industriAll</w:t>
      </w:r>
      <w:proofErr w:type="spellEnd"/>
      <w:r w:rsidRPr="00A973DB">
        <w:rPr>
          <w:b/>
          <w:bCs/>
          <w:color w:val="000000"/>
          <w:sz w:val="36"/>
          <w:szCs w:val="36"/>
        </w:rPr>
        <w:t xml:space="preserve"> pro automobilové odvětví </w:t>
      </w:r>
      <w:r w:rsidRPr="00A973DB">
        <w:rPr>
          <w:b/>
          <w:snapToGrid w:val="0"/>
          <w:sz w:val="36"/>
          <w:szCs w:val="36"/>
        </w:rPr>
        <w:t>ze dne 16. 3. 2021.</w:t>
      </w:r>
    </w:p>
    <w:p w14:paraId="6F0E7FD8" w14:textId="77777777" w:rsidR="00670D87" w:rsidRPr="00DE7D39" w:rsidRDefault="00670D87" w:rsidP="00670D87">
      <w:pPr>
        <w:jc w:val="both"/>
        <w:rPr>
          <w:rFonts w:ascii="Times New Roman" w:hAnsi="Times New Roman" w:cs="Times New Roman"/>
          <w:sz w:val="28"/>
          <w:szCs w:val="28"/>
        </w:rPr>
      </w:pPr>
    </w:p>
    <w:p w14:paraId="1A4B7157" w14:textId="77777777" w:rsidR="00670D87" w:rsidRDefault="00670D87" w:rsidP="00670D87">
      <w:pPr>
        <w:jc w:val="both"/>
        <w:rPr>
          <w:rFonts w:ascii="Times New Roman" w:hAnsi="Times New Roman" w:cs="Times New Roman"/>
        </w:rPr>
      </w:pPr>
      <w:r w:rsidRPr="00DE7D39">
        <w:rPr>
          <w:rFonts w:ascii="Times New Roman" w:hAnsi="Times New Roman" w:cs="Times New Roman"/>
        </w:rPr>
        <w:t xml:space="preserve">Na úvod jednání byly rozebrány výrobní ztráty v automobilovém průmyslu za rok 2020. Celkové výrobní ztráty způsobené COVID-19 za rok 2020 činily 4,243 577 vozidel, což je 22,9 % z celkové produkce Evropské unie v roce 2019. </w:t>
      </w:r>
    </w:p>
    <w:p w14:paraId="5B47D16C" w14:textId="77777777" w:rsidR="00670D87" w:rsidRPr="00DE7D39" w:rsidRDefault="00670D87" w:rsidP="00670D87">
      <w:pPr>
        <w:jc w:val="both"/>
        <w:rPr>
          <w:rFonts w:ascii="Times New Roman" w:hAnsi="Times New Roman" w:cs="Times New Roman"/>
        </w:rPr>
      </w:pPr>
    </w:p>
    <w:p w14:paraId="6D3A0CA0" w14:textId="77777777" w:rsidR="00670D87" w:rsidRPr="00DE7D39" w:rsidRDefault="00670D87" w:rsidP="00670D87">
      <w:pPr>
        <w:jc w:val="both"/>
        <w:rPr>
          <w:rFonts w:ascii="Times New Roman" w:hAnsi="Times New Roman" w:cs="Times New Roman"/>
        </w:rPr>
      </w:pPr>
      <w:r w:rsidRPr="00DE7D39">
        <w:rPr>
          <w:rFonts w:ascii="Times New Roman" w:hAnsi="Times New Roman" w:cs="Times New Roman"/>
        </w:rPr>
        <w:t>Výrobní ztráty jednotlivých zemí jsou znázorněny v tabulce č. 1.</w:t>
      </w:r>
    </w:p>
    <w:p w14:paraId="670341A5" w14:textId="77777777" w:rsidR="00670D87" w:rsidRPr="00DE7D39" w:rsidRDefault="00670D87" w:rsidP="00670D87">
      <w:pPr>
        <w:jc w:val="both"/>
        <w:rPr>
          <w:rFonts w:ascii="Times New Roman" w:hAnsi="Times New Roman" w:cs="Times New Roman"/>
        </w:rPr>
      </w:pPr>
    </w:p>
    <w:p w14:paraId="02FA49F6" w14:textId="77777777" w:rsidR="00670D87" w:rsidRDefault="00670D87" w:rsidP="00670D87">
      <w:pPr>
        <w:jc w:val="both"/>
        <w:rPr>
          <w:rFonts w:ascii="Times New Roman" w:hAnsi="Times New Roman" w:cs="Times New Roman"/>
        </w:rPr>
      </w:pPr>
    </w:p>
    <w:p w14:paraId="56F40EE0" w14:textId="77777777" w:rsidR="00670D87" w:rsidRPr="00DE7D39" w:rsidRDefault="00670D87" w:rsidP="00670D87">
      <w:pPr>
        <w:jc w:val="both"/>
        <w:rPr>
          <w:rFonts w:ascii="Times New Roman" w:hAnsi="Times New Roman" w:cs="Times New Roman"/>
        </w:rPr>
      </w:pPr>
      <w:r w:rsidRPr="00DE7D39">
        <w:rPr>
          <w:rFonts w:ascii="Times New Roman" w:hAnsi="Times New Roman" w:cs="Times New Roman"/>
        </w:rPr>
        <w:t>Tabulka č.1</w:t>
      </w:r>
    </w:p>
    <w:tbl>
      <w:tblPr>
        <w:tblStyle w:val="Mkatabulky"/>
        <w:tblW w:w="0" w:type="auto"/>
        <w:tblLook w:val="04A0" w:firstRow="1" w:lastRow="0" w:firstColumn="1" w:lastColumn="0" w:noHBand="0" w:noVBand="1"/>
      </w:tblPr>
      <w:tblGrid>
        <w:gridCol w:w="2122"/>
        <w:gridCol w:w="2268"/>
      </w:tblGrid>
      <w:tr w:rsidR="00670D87" w:rsidRPr="00DE7D39" w14:paraId="2BC3BE56" w14:textId="77777777" w:rsidTr="00F276DB">
        <w:tc>
          <w:tcPr>
            <w:tcW w:w="2122" w:type="dxa"/>
            <w:shd w:val="clear" w:color="auto" w:fill="E7E6E6" w:themeFill="background2"/>
          </w:tcPr>
          <w:p w14:paraId="6BEB7D2B" w14:textId="77777777" w:rsidR="00670D87" w:rsidRPr="00DE7D39" w:rsidRDefault="00670D87" w:rsidP="00F276DB">
            <w:pPr>
              <w:jc w:val="center"/>
              <w:rPr>
                <w:rFonts w:ascii="Times New Roman" w:hAnsi="Times New Roman" w:cs="Times New Roman"/>
                <w:b/>
                <w:bCs/>
              </w:rPr>
            </w:pPr>
            <w:r w:rsidRPr="00DE7D39">
              <w:rPr>
                <w:rFonts w:ascii="Times New Roman" w:hAnsi="Times New Roman" w:cs="Times New Roman"/>
                <w:b/>
                <w:bCs/>
              </w:rPr>
              <w:t>ZEMĚ</w:t>
            </w:r>
          </w:p>
        </w:tc>
        <w:tc>
          <w:tcPr>
            <w:tcW w:w="2268" w:type="dxa"/>
            <w:shd w:val="clear" w:color="auto" w:fill="E7E6E6" w:themeFill="background2"/>
          </w:tcPr>
          <w:p w14:paraId="442DCAA4" w14:textId="77777777" w:rsidR="00670D87" w:rsidRPr="00DE7D39" w:rsidRDefault="00670D87" w:rsidP="00F276DB">
            <w:pPr>
              <w:jc w:val="center"/>
              <w:rPr>
                <w:rFonts w:ascii="Times New Roman" w:hAnsi="Times New Roman" w:cs="Times New Roman"/>
                <w:b/>
                <w:bCs/>
              </w:rPr>
            </w:pPr>
            <w:r w:rsidRPr="00DE7D39">
              <w:rPr>
                <w:rFonts w:ascii="Times New Roman" w:hAnsi="Times New Roman" w:cs="Times New Roman"/>
                <w:b/>
                <w:bCs/>
              </w:rPr>
              <w:t>VÝROBNÍ ZTRÁTA</w:t>
            </w:r>
          </w:p>
        </w:tc>
      </w:tr>
      <w:tr w:rsidR="00670D87" w:rsidRPr="00DE7D39" w14:paraId="34457276" w14:textId="77777777" w:rsidTr="00F276DB">
        <w:tc>
          <w:tcPr>
            <w:tcW w:w="2122" w:type="dxa"/>
          </w:tcPr>
          <w:p w14:paraId="0F69AB08" w14:textId="77777777" w:rsidR="00670D87" w:rsidRPr="00DE7D39" w:rsidRDefault="00670D87" w:rsidP="00F276DB">
            <w:pPr>
              <w:jc w:val="center"/>
              <w:rPr>
                <w:rFonts w:ascii="Times New Roman" w:hAnsi="Times New Roman" w:cs="Times New Roman"/>
              </w:rPr>
            </w:pPr>
            <w:r w:rsidRPr="00DE7D39">
              <w:rPr>
                <w:rFonts w:ascii="Times New Roman" w:hAnsi="Times New Roman" w:cs="Times New Roman"/>
              </w:rPr>
              <w:t>Rakousko</w:t>
            </w:r>
          </w:p>
        </w:tc>
        <w:tc>
          <w:tcPr>
            <w:tcW w:w="2268" w:type="dxa"/>
          </w:tcPr>
          <w:p w14:paraId="63D317D0" w14:textId="77777777" w:rsidR="00670D87" w:rsidRPr="00DE7D39" w:rsidRDefault="00670D87" w:rsidP="00F276DB">
            <w:pPr>
              <w:jc w:val="center"/>
              <w:rPr>
                <w:rFonts w:ascii="Times New Roman" w:hAnsi="Times New Roman" w:cs="Times New Roman"/>
              </w:rPr>
            </w:pPr>
            <w:r w:rsidRPr="00DE7D39">
              <w:rPr>
                <w:rFonts w:ascii="Times New Roman" w:hAnsi="Times New Roman" w:cs="Times New Roman"/>
              </w:rPr>
              <w:t>63,479</w:t>
            </w:r>
          </w:p>
        </w:tc>
      </w:tr>
      <w:tr w:rsidR="00670D87" w:rsidRPr="00DE7D39" w14:paraId="7295167A" w14:textId="77777777" w:rsidTr="00F276DB">
        <w:tc>
          <w:tcPr>
            <w:tcW w:w="2122" w:type="dxa"/>
          </w:tcPr>
          <w:p w14:paraId="6744E1EC" w14:textId="77777777" w:rsidR="00670D87" w:rsidRPr="00DE7D39" w:rsidRDefault="00670D87" w:rsidP="00F276DB">
            <w:pPr>
              <w:jc w:val="center"/>
              <w:rPr>
                <w:rFonts w:ascii="Times New Roman" w:hAnsi="Times New Roman" w:cs="Times New Roman"/>
              </w:rPr>
            </w:pPr>
            <w:r w:rsidRPr="00DE7D39">
              <w:rPr>
                <w:rFonts w:ascii="Times New Roman" w:hAnsi="Times New Roman" w:cs="Times New Roman"/>
              </w:rPr>
              <w:t>Belgie</w:t>
            </w:r>
          </w:p>
        </w:tc>
        <w:tc>
          <w:tcPr>
            <w:tcW w:w="2268" w:type="dxa"/>
          </w:tcPr>
          <w:p w14:paraId="589BF865" w14:textId="77777777" w:rsidR="00670D87" w:rsidRPr="00DE7D39" w:rsidRDefault="00670D87" w:rsidP="00F276DB">
            <w:pPr>
              <w:jc w:val="center"/>
              <w:rPr>
                <w:rFonts w:ascii="Times New Roman" w:hAnsi="Times New Roman" w:cs="Times New Roman"/>
              </w:rPr>
            </w:pPr>
            <w:r w:rsidRPr="00DE7D39">
              <w:rPr>
                <w:rFonts w:ascii="Times New Roman" w:hAnsi="Times New Roman" w:cs="Times New Roman"/>
              </w:rPr>
              <w:t>22,105</w:t>
            </w:r>
          </w:p>
        </w:tc>
      </w:tr>
      <w:tr w:rsidR="00670D87" w:rsidRPr="00DE7D39" w14:paraId="2CF90788" w14:textId="77777777" w:rsidTr="00F276DB">
        <w:tc>
          <w:tcPr>
            <w:tcW w:w="2122" w:type="dxa"/>
          </w:tcPr>
          <w:p w14:paraId="5C8C33B7" w14:textId="77777777" w:rsidR="00670D87" w:rsidRPr="00DE7D39" w:rsidRDefault="00670D87" w:rsidP="00F276DB">
            <w:pPr>
              <w:jc w:val="center"/>
              <w:rPr>
                <w:rFonts w:ascii="Times New Roman" w:hAnsi="Times New Roman" w:cs="Times New Roman"/>
              </w:rPr>
            </w:pPr>
            <w:r w:rsidRPr="00DE7D39">
              <w:rPr>
                <w:rFonts w:ascii="Times New Roman" w:hAnsi="Times New Roman" w:cs="Times New Roman"/>
              </w:rPr>
              <w:t>Česká republika</w:t>
            </w:r>
          </w:p>
        </w:tc>
        <w:tc>
          <w:tcPr>
            <w:tcW w:w="2268" w:type="dxa"/>
          </w:tcPr>
          <w:p w14:paraId="09A8D4D1" w14:textId="77777777" w:rsidR="00670D87" w:rsidRPr="00DE7D39" w:rsidRDefault="00670D87" w:rsidP="00F276DB">
            <w:pPr>
              <w:jc w:val="center"/>
              <w:rPr>
                <w:rFonts w:ascii="Times New Roman" w:hAnsi="Times New Roman" w:cs="Times New Roman"/>
              </w:rPr>
            </w:pPr>
            <w:r w:rsidRPr="00DE7D39">
              <w:rPr>
                <w:rFonts w:ascii="Times New Roman" w:hAnsi="Times New Roman" w:cs="Times New Roman"/>
              </w:rPr>
              <w:t>269,788</w:t>
            </w:r>
          </w:p>
        </w:tc>
      </w:tr>
      <w:tr w:rsidR="00670D87" w:rsidRPr="00DE7D39" w14:paraId="07D40D8C" w14:textId="77777777" w:rsidTr="00F276DB">
        <w:tc>
          <w:tcPr>
            <w:tcW w:w="2122" w:type="dxa"/>
          </w:tcPr>
          <w:p w14:paraId="68A2A952" w14:textId="77777777" w:rsidR="00670D87" w:rsidRPr="00DE7D39" w:rsidRDefault="00670D87" w:rsidP="00F276DB">
            <w:pPr>
              <w:jc w:val="center"/>
              <w:rPr>
                <w:rFonts w:ascii="Times New Roman" w:hAnsi="Times New Roman" w:cs="Times New Roman"/>
              </w:rPr>
            </w:pPr>
            <w:r w:rsidRPr="00DE7D39">
              <w:rPr>
                <w:rFonts w:ascii="Times New Roman" w:hAnsi="Times New Roman" w:cs="Times New Roman"/>
              </w:rPr>
              <w:t>Finsko</w:t>
            </w:r>
          </w:p>
        </w:tc>
        <w:tc>
          <w:tcPr>
            <w:tcW w:w="2268" w:type="dxa"/>
          </w:tcPr>
          <w:p w14:paraId="4346A27A" w14:textId="77777777" w:rsidR="00670D87" w:rsidRPr="00DE7D39" w:rsidRDefault="00670D87" w:rsidP="00F276DB">
            <w:pPr>
              <w:jc w:val="center"/>
              <w:rPr>
                <w:rFonts w:ascii="Times New Roman" w:hAnsi="Times New Roman" w:cs="Times New Roman"/>
              </w:rPr>
            </w:pPr>
            <w:r w:rsidRPr="00DE7D39">
              <w:rPr>
                <w:rFonts w:ascii="Times New Roman" w:hAnsi="Times New Roman" w:cs="Times New Roman"/>
              </w:rPr>
              <w:t>29.157</w:t>
            </w:r>
          </w:p>
        </w:tc>
      </w:tr>
      <w:tr w:rsidR="00670D87" w:rsidRPr="00DE7D39" w14:paraId="5944DF84" w14:textId="77777777" w:rsidTr="00F276DB">
        <w:tc>
          <w:tcPr>
            <w:tcW w:w="2122" w:type="dxa"/>
          </w:tcPr>
          <w:p w14:paraId="6D18648F" w14:textId="77777777" w:rsidR="00670D87" w:rsidRPr="00DE7D39" w:rsidRDefault="00670D87" w:rsidP="00F276DB">
            <w:pPr>
              <w:jc w:val="center"/>
              <w:rPr>
                <w:rFonts w:ascii="Times New Roman" w:hAnsi="Times New Roman" w:cs="Times New Roman"/>
              </w:rPr>
            </w:pPr>
            <w:r w:rsidRPr="00DE7D39">
              <w:rPr>
                <w:rFonts w:ascii="Times New Roman" w:hAnsi="Times New Roman" w:cs="Times New Roman"/>
              </w:rPr>
              <w:t>Francie</w:t>
            </w:r>
          </w:p>
        </w:tc>
        <w:tc>
          <w:tcPr>
            <w:tcW w:w="2268" w:type="dxa"/>
          </w:tcPr>
          <w:p w14:paraId="5BD6C4B3" w14:textId="77777777" w:rsidR="00670D87" w:rsidRPr="00DE7D39" w:rsidRDefault="00670D87" w:rsidP="00F276DB">
            <w:pPr>
              <w:jc w:val="center"/>
              <w:rPr>
                <w:rFonts w:ascii="Times New Roman" w:hAnsi="Times New Roman" w:cs="Times New Roman"/>
              </w:rPr>
            </w:pPr>
            <w:r w:rsidRPr="00DE7D39">
              <w:rPr>
                <w:rFonts w:ascii="Times New Roman" w:hAnsi="Times New Roman" w:cs="Times New Roman"/>
              </w:rPr>
              <w:t>881,287</w:t>
            </w:r>
          </w:p>
        </w:tc>
      </w:tr>
      <w:tr w:rsidR="00670D87" w:rsidRPr="00DE7D39" w14:paraId="67CF6C49" w14:textId="77777777" w:rsidTr="00F276DB">
        <w:tc>
          <w:tcPr>
            <w:tcW w:w="2122" w:type="dxa"/>
          </w:tcPr>
          <w:p w14:paraId="423FB8A6" w14:textId="77777777" w:rsidR="00670D87" w:rsidRPr="00DE7D39" w:rsidRDefault="00670D87" w:rsidP="00F276DB">
            <w:pPr>
              <w:jc w:val="center"/>
              <w:rPr>
                <w:rFonts w:ascii="Times New Roman" w:hAnsi="Times New Roman" w:cs="Times New Roman"/>
              </w:rPr>
            </w:pPr>
            <w:r w:rsidRPr="00DE7D39">
              <w:rPr>
                <w:rFonts w:ascii="Times New Roman" w:hAnsi="Times New Roman" w:cs="Times New Roman"/>
              </w:rPr>
              <w:t>Německo</w:t>
            </w:r>
          </w:p>
        </w:tc>
        <w:tc>
          <w:tcPr>
            <w:tcW w:w="2268" w:type="dxa"/>
          </w:tcPr>
          <w:p w14:paraId="219B8F26" w14:textId="77777777" w:rsidR="00670D87" w:rsidRPr="00DE7D39" w:rsidRDefault="00670D87" w:rsidP="00F276DB">
            <w:pPr>
              <w:jc w:val="center"/>
              <w:rPr>
                <w:rFonts w:ascii="Times New Roman" w:hAnsi="Times New Roman" w:cs="Times New Roman"/>
              </w:rPr>
            </w:pPr>
            <w:r w:rsidRPr="00DE7D39">
              <w:rPr>
                <w:rFonts w:ascii="Times New Roman" w:hAnsi="Times New Roman" w:cs="Times New Roman"/>
              </w:rPr>
              <w:t>1,192 112</w:t>
            </w:r>
          </w:p>
        </w:tc>
      </w:tr>
      <w:tr w:rsidR="00670D87" w:rsidRPr="00DE7D39" w14:paraId="6E21DB24" w14:textId="77777777" w:rsidTr="00F276DB">
        <w:tc>
          <w:tcPr>
            <w:tcW w:w="2122" w:type="dxa"/>
          </w:tcPr>
          <w:p w14:paraId="1B7A114D" w14:textId="77777777" w:rsidR="00670D87" w:rsidRPr="00DE7D39" w:rsidRDefault="00670D87" w:rsidP="00F276DB">
            <w:pPr>
              <w:jc w:val="center"/>
              <w:rPr>
                <w:rFonts w:ascii="Times New Roman" w:hAnsi="Times New Roman" w:cs="Times New Roman"/>
              </w:rPr>
            </w:pPr>
            <w:r w:rsidRPr="00DE7D39">
              <w:rPr>
                <w:rFonts w:ascii="Times New Roman" w:hAnsi="Times New Roman" w:cs="Times New Roman"/>
              </w:rPr>
              <w:lastRenderedPageBreak/>
              <w:t>Maďarsko</w:t>
            </w:r>
          </w:p>
        </w:tc>
        <w:tc>
          <w:tcPr>
            <w:tcW w:w="2268" w:type="dxa"/>
          </w:tcPr>
          <w:p w14:paraId="34F67637" w14:textId="77777777" w:rsidR="00670D87" w:rsidRPr="00DE7D39" w:rsidRDefault="00670D87" w:rsidP="00F276DB">
            <w:pPr>
              <w:jc w:val="center"/>
              <w:rPr>
                <w:rFonts w:ascii="Times New Roman" w:hAnsi="Times New Roman" w:cs="Times New Roman"/>
              </w:rPr>
            </w:pPr>
            <w:r w:rsidRPr="00DE7D39">
              <w:rPr>
                <w:rFonts w:ascii="Times New Roman" w:hAnsi="Times New Roman" w:cs="Times New Roman"/>
              </w:rPr>
              <w:t>91,829</w:t>
            </w:r>
          </w:p>
        </w:tc>
      </w:tr>
      <w:tr w:rsidR="00670D87" w:rsidRPr="00DE7D39" w14:paraId="62DF5042" w14:textId="77777777" w:rsidTr="00F276DB">
        <w:tc>
          <w:tcPr>
            <w:tcW w:w="2122" w:type="dxa"/>
          </w:tcPr>
          <w:p w14:paraId="23E0F901" w14:textId="77777777" w:rsidR="00670D87" w:rsidRPr="00DE7D39" w:rsidRDefault="00670D87" w:rsidP="00F276DB">
            <w:pPr>
              <w:jc w:val="center"/>
              <w:rPr>
                <w:rFonts w:ascii="Times New Roman" w:hAnsi="Times New Roman" w:cs="Times New Roman"/>
              </w:rPr>
            </w:pPr>
            <w:r w:rsidRPr="00DE7D39">
              <w:rPr>
                <w:rFonts w:ascii="Times New Roman" w:hAnsi="Times New Roman" w:cs="Times New Roman"/>
              </w:rPr>
              <w:t>Itálie</w:t>
            </w:r>
          </w:p>
        </w:tc>
        <w:tc>
          <w:tcPr>
            <w:tcW w:w="2268" w:type="dxa"/>
          </w:tcPr>
          <w:p w14:paraId="08BD57D6" w14:textId="77777777" w:rsidR="00670D87" w:rsidRPr="00DE7D39" w:rsidRDefault="00670D87" w:rsidP="00F276DB">
            <w:pPr>
              <w:jc w:val="center"/>
              <w:rPr>
                <w:rFonts w:ascii="Times New Roman" w:hAnsi="Times New Roman" w:cs="Times New Roman"/>
              </w:rPr>
            </w:pPr>
            <w:r w:rsidRPr="00DE7D39">
              <w:rPr>
                <w:rFonts w:ascii="Times New Roman" w:hAnsi="Times New Roman" w:cs="Times New Roman"/>
              </w:rPr>
              <w:t>114,174</w:t>
            </w:r>
          </w:p>
        </w:tc>
      </w:tr>
      <w:tr w:rsidR="00670D87" w:rsidRPr="00DE7D39" w14:paraId="775F2180" w14:textId="77777777" w:rsidTr="00F276DB">
        <w:tc>
          <w:tcPr>
            <w:tcW w:w="2122" w:type="dxa"/>
          </w:tcPr>
          <w:p w14:paraId="2C16D190" w14:textId="77777777" w:rsidR="00670D87" w:rsidRPr="00DE7D39" w:rsidRDefault="00670D87" w:rsidP="00F276DB">
            <w:pPr>
              <w:jc w:val="center"/>
              <w:rPr>
                <w:rFonts w:ascii="Times New Roman" w:hAnsi="Times New Roman" w:cs="Times New Roman"/>
              </w:rPr>
            </w:pPr>
            <w:r w:rsidRPr="00DE7D39">
              <w:rPr>
                <w:rFonts w:ascii="Times New Roman" w:hAnsi="Times New Roman" w:cs="Times New Roman"/>
              </w:rPr>
              <w:t>Nizozemsko</w:t>
            </w:r>
          </w:p>
        </w:tc>
        <w:tc>
          <w:tcPr>
            <w:tcW w:w="2268" w:type="dxa"/>
          </w:tcPr>
          <w:p w14:paraId="02725623" w14:textId="77777777" w:rsidR="00670D87" w:rsidRPr="00DE7D39" w:rsidRDefault="00670D87" w:rsidP="00F276DB">
            <w:pPr>
              <w:jc w:val="center"/>
              <w:rPr>
                <w:rFonts w:ascii="Times New Roman" w:hAnsi="Times New Roman" w:cs="Times New Roman"/>
              </w:rPr>
            </w:pPr>
            <w:r w:rsidRPr="00DE7D39">
              <w:rPr>
                <w:rFonts w:ascii="Times New Roman" w:hAnsi="Times New Roman" w:cs="Times New Roman"/>
              </w:rPr>
              <w:t>65,045</w:t>
            </w:r>
          </w:p>
        </w:tc>
      </w:tr>
      <w:tr w:rsidR="00670D87" w:rsidRPr="00DE7D39" w14:paraId="0A1A64FC" w14:textId="77777777" w:rsidTr="00F276DB">
        <w:tc>
          <w:tcPr>
            <w:tcW w:w="2122" w:type="dxa"/>
          </w:tcPr>
          <w:p w14:paraId="179532D3" w14:textId="77777777" w:rsidR="00670D87" w:rsidRPr="00DE7D39" w:rsidRDefault="00670D87" w:rsidP="00F276DB">
            <w:pPr>
              <w:jc w:val="center"/>
              <w:rPr>
                <w:rFonts w:ascii="Times New Roman" w:hAnsi="Times New Roman" w:cs="Times New Roman"/>
              </w:rPr>
            </w:pPr>
            <w:r w:rsidRPr="00DE7D39">
              <w:rPr>
                <w:rFonts w:ascii="Times New Roman" w:hAnsi="Times New Roman" w:cs="Times New Roman"/>
              </w:rPr>
              <w:t>Polsko</w:t>
            </w:r>
          </w:p>
        </w:tc>
        <w:tc>
          <w:tcPr>
            <w:tcW w:w="2268" w:type="dxa"/>
          </w:tcPr>
          <w:p w14:paraId="51CB94DB" w14:textId="77777777" w:rsidR="00670D87" w:rsidRPr="00DE7D39" w:rsidRDefault="00670D87" w:rsidP="00F276DB">
            <w:pPr>
              <w:jc w:val="center"/>
              <w:rPr>
                <w:rFonts w:ascii="Times New Roman" w:hAnsi="Times New Roman" w:cs="Times New Roman"/>
              </w:rPr>
            </w:pPr>
            <w:r w:rsidRPr="00DE7D39">
              <w:rPr>
                <w:rFonts w:ascii="Times New Roman" w:hAnsi="Times New Roman" w:cs="Times New Roman"/>
              </w:rPr>
              <w:t>192,232</w:t>
            </w:r>
          </w:p>
        </w:tc>
      </w:tr>
      <w:tr w:rsidR="00670D87" w:rsidRPr="00DE7D39" w14:paraId="7E5B8C68" w14:textId="77777777" w:rsidTr="00F276DB">
        <w:tc>
          <w:tcPr>
            <w:tcW w:w="2122" w:type="dxa"/>
          </w:tcPr>
          <w:p w14:paraId="31A0DFB4" w14:textId="77777777" w:rsidR="00670D87" w:rsidRPr="00DE7D39" w:rsidRDefault="00670D87" w:rsidP="00F276DB">
            <w:pPr>
              <w:jc w:val="center"/>
              <w:rPr>
                <w:rFonts w:ascii="Times New Roman" w:hAnsi="Times New Roman" w:cs="Times New Roman"/>
              </w:rPr>
            </w:pPr>
            <w:r w:rsidRPr="00DE7D39">
              <w:rPr>
                <w:rFonts w:ascii="Times New Roman" w:hAnsi="Times New Roman" w:cs="Times New Roman"/>
              </w:rPr>
              <w:t>Portugalsko</w:t>
            </w:r>
          </w:p>
        </w:tc>
        <w:tc>
          <w:tcPr>
            <w:tcW w:w="2268" w:type="dxa"/>
          </w:tcPr>
          <w:p w14:paraId="03B2D329" w14:textId="77777777" w:rsidR="00670D87" w:rsidRPr="00DE7D39" w:rsidRDefault="00670D87" w:rsidP="00F276DB">
            <w:pPr>
              <w:jc w:val="center"/>
              <w:rPr>
                <w:rFonts w:ascii="Times New Roman" w:hAnsi="Times New Roman" w:cs="Times New Roman"/>
              </w:rPr>
            </w:pPr>
            <w:r w:rsidRPr="00DE7D39">
              <w:rPr>
                <w:rFonts w:ascii="Times New Roman" w:hAnsi="Times New Roman" w:cs="Times New Roman"/>
              </w:rPr>
              <w:t>73,834</w:t>
            </w:r>
          </w:p>
        </w:tc>
      </w:tr>
      <w:tr w:rsidR="00670D87" w:rsidRPr="00DE7D39" w14:paraId="76A473BC" w14:textId="77777777" w:rsidTr="00F276DB">
        <w:tc>
          <w:tcPr>
            <w:tcW w:w="2122" w:type="dxa"/>
          </w:tcPr>
          <w:p w14:paraId="19265AAF" w14:textId="77777777" w:rsidR="00670D87" w:rsidRPr="00DE7D39" w:rsidRDefault="00670D87" w:rsidP="00F276DB">
            <w:pPr>
              <w:jc w:val="center"/>
              <w:rPr>
                <w:rFonts w:ascii="Times New Roman" w:hAnsi="Times New Roman" w:cs="Times New Roman"/>
              </w:rPr>
            </w:pPr>
            <w:r w:rsidRPr="00DE7D39">
              <w:rPr>
                <w:rFonts w:ascii="Times New Roman" w:hAnsi="Times New Roman" w:cs="Times New Roman"/>
              </w:rPr>
              <w:t>Rumunsko</w:t>
            </w:r>
          </w:p>
        </w:tc>
        <w:tc>
          <w:tcPr>
            <w:tcW w:w="2268" w:type="dxa"/>
          </w:tcPr>
          <w:p w14:paraId="6F71AA70" w14:textId="77777777" w:rsidR="00670D87" w:rsidRPr="00DE7D39" w:rsidRDefault="00670D87" w:rsidP="00F276DB">
            <w:pPr>
              <w:jc w:val="center"/>
              <w:rPr>
                <w:rFonts w:ascii="Times New Roman" w:hAnsi="Times New Roman" w:cs="Times New Roman"/>
              </w:rPr>
            </w:pPr>
            <w:r w:rsidRPr="00DE7D39">
              <w:rPr>
                <w:rFonts w:ascii="Times New Roman" w:hAnsi="Times New Roman" w:cs="Times New Roman"/>
              </w:rPr>
              <w:t>52,782</w:t>
            </w:r>
          </w:p>
        </w:tc>
      </w:tr>
      <w:tr w:rsidR="00670D87" w:rsidRPr="00DE7D39" w14:paraId="3F44F70D" w14:textId="77777777" w:rsidTr="00F276DB">
        <w:tc>
          <w:tcPr>
            <w:tcW w:w="2122" w:type="dxa"/>
          </w:tcPr>
          <w:p w14:paraId="1DF8E69D" w14:textId="77777777" w:rsidR="00670D87" w:rsidRPr="00DE7D39" w:rsidRDefault="00670D87" w:rsidP="00F276DB">
            <w:pPr>
              <w:jc w:val="center"/>
              <w:rPr>
                <w:rFonts w:ascii="Times New Roman" w:hAnsi="Times New Roman" w:cs="Times New Roman"/>
              </w:rPr>
            </w:pPr>
            <w:r w:rsidRPr="00DE7D39">
              <w:rPr>
                <w:rFonts w:ascii="Times New Roman" w:hAnsi="Times New Roman" w:cs="Times New Roman"/>
              </w:rPr>
              <w:t>Slovensko</w:t>
            </w:r>
          </w:p>
        </w:tc>
        <w:tc>
          <w:tcPr>
            <w:tcW w:w="2268" w:type="dxa"/>
          </w:tcPr>
          <w:p w14:paraId="70B3DD7D" w14:textId="77777777" w:rsidR="00670D87" w:rsidRPr="00DE7D39" w:rsidRDefault="00670D87" w:rsidP="00F276DB">
            <w:pPr>
              <w:jc w:val="center"/>
              <w:rPr>
                <w:rFonts w:ascii="Times New Roman" w:hAnsi="Times New Roman" w:cs="Times New Roman"/>
              </w:rPr>
            </w:pPr>
            <w:r w:rsidRPr="00DE7D39">
              <w:rPr>
                <w:rFonts w:ascii="Times New Roman" w:hAnsi="Times New Roman" w:cs="Times New Roman"/>
              </w:rPr>
              <w:t>129,007</w:t>
            </w:r>
          </w:p>
        </w:tc>
      </w:tr>
      <w:tr w:rsidR="00670D87" w:rsidRPr="00DE7D39" w14:paraId="2F2019C0" w14:textId="77777777" w:rsidTr="00F276DB">
        <w:tc>
          <w:tcPr>
            <w:tcW w:w="2122" w:type="dxa"/>
          </w:tcPr>
          <w:p w14:paraId="53C68444" w14:textId="77777777" w:rsidR="00670D87" w:rsidRPr="00DE7D39" w:rsidRDefault="00670D87" w:rsidP="00F276DB">
            <w:pPr>
              <w:jc w:val="center"/>
              <w:rPr>
                <w:rFonts w:ascii="Times New Roman" w:hAnsi="Times New Roman" w:cs="Times New Roman"/>
              </w:rPr>
            </w:pPr>
            <w:r w:rsidRPr="00DE7D39">
              <w:rPr>
                <w:rFonts w:ascii="Times New Roman" w:hAnsi="Times New Roman" w:cs="Times New Roman"/>
              </w:rPr>
              <w:t>Slovinsko</w:t>
            </w:r>
          </w:p>
        </w:tc>
        <w:tc>
          <w:tcPr>
            <w:tcW w:w="2268" w:type="dxa"/>
          </w:tcPr>
          <w:p w14:paraId="01CCF6AE" w14:textId="77777777" w:rsidR="00670D87" w:rsidRPr="00DE7D39" w:rsidRDefault="00670D87" w:rsidP="00F276DB">
            <w:pPr>
              <w:jc w:val="center"/>
              <w:rPr>
                <w:rFonts w:ascii="Times New Roman" w:hAnsi="Times New Roman" w:cs="Times New Roman"/>
              </w:rPr>
            </w:pPr>
            <w:r w:rsidRPr="00DE7D39">
              <w:rPr>
                <w:rFonts w:ascii="Times New Roman" w:hAnsi="Times New Roman" w:cs="Times New Roman"/>
              </w:rPr>
              <w:t>58,239</w:t>
            </w:r>
          </w:p>
        </w:tc>
      </w:tr>
      <w:tr w:rsidR="00670D87" w:rsidRPr="00DE7D39" w14:paraId="7D742DE1" w14:textId="77777777" w:rsidTr="00F276DB">
        <w:tc>
          <w:tcPr>
            <w:tcW w:w="2122" w:type="dxa"/>
          </w:tcPr>
          <w:p w14:paraId="7D88987D" w14:textId="77777777" w:rsidR="00670D87" w:rsidRPr="00DE7D39" w:rsidRDefault="00670D87" w:rsidP="00F276DB">
            <w:pPr>
              <w:jc w:val="center"/>
              <w:rPr>
                <w:rFonts w:ascii="Times New Roman" w:hAnsi="Times New Roman" w:cs="Times New Roman"/>
              </w:rPr>
            </w:pPr>
            <w:r w:rsidRPr="00DE7D39">
              <w:rPr>
                <w:rFonts w:ascii="Times New Roman" w:hAnsi="Times New Roman" w:cs="Times New Roman"/>
              </w:rPr>
              <w:t>Španělsko</w:t>
            </w:r>
          </w:p>
        </w:tc>
        <w:tc>
          <w:tcPr>
            <w:tcW w:w="2268" w:type="dxa"/>
          </w:tcPr>
          <w:p w14:paraId="7C4EFE06" w14:textId="77777777" w:rsidR="00670D87" w:rsidRPr="00DE7D39" w:rsidRDefault="00670D87" w:rsidP="00F276DB">
            <w:pPr>
              <w:jc w:val="center"/>
              <w:rPr>
                <w:rFonts w:ascii="Times New Roman" w:hAnsi="Times New Roman" w:cs="Times New Roman"/>
              </w:rPr>
            </w:pPr>
            <w:r w:rsidRPr="00DE7D39">
              <w:rPr>
                <w:rFonts w:ascii="Times New Roman" w:hAnsi="Times New Roman" w:cs="Times New Roman"/>
              </w:rPr>
              <w:t>577,130</w:t>
            </w:r>
          </w:p>
        </w:tc>
      </w:tr>
      <w:tr w:rsidR="00670D87" w:rsidRPr="00DE7D39" w14:paraId="69243767" w14:textId="77777777" w:rsidTr="00F276DB">
        <w:tc>
          <w:tcPr>
            <w:tcW w:w="2122" w:type="dxa"/>
          </w:tcPr>
          <w:p w14:paraId="6D10FAC2" w14:textId="77777777" w:rsidR="00670D87" w:rsidRPr="00DE7D39" w:rsidRDefault="00670D87" w:rsidP="00F276DB">
            <w:pPr>
              <w:jc w:val="center"/>
              <w:rPr>
                <w:rFonts w:ascii="Times New Roman" w:hAnsi="Times New Roman" w:cs="Times New Roman"/>
              </w:rPr>
            </w:pPr>
            <w:r w:rsidRPr="00DE7D39">
              <w:rPr>
                <w:rFonts w:ascii="Times New Roman" w:hAnsi="Times New Roman" w:cs="Times New Roman"/>
              </w:rPr>
              <w:t>Švédsko</w:t>
            </w:r>
          </w:p>
        </w:tc>
        <w:tc>
          <w:tcPr>
            <w:tcW w:w="2268" w:type="dxa"/>
          </w:tcPr>
          <w:p w14:paraId="3F70E594" w14:textId="77777777" w:rsidR="00670D87" w:rsidRPr="00DE7D39" w:rsidRDefault="00670D87" w:rsidP="00F276DB">
            <w:pPr>
              <w:jc w:val="center"/>
              <w:rPr>
                <w:rFonts w:ascii="Times New Roman" w:hAnsi="Times New Roman" w:cs="Times New Roman"/>
              </w:rPr>
            </w:pPr>
            <w:r w:rsidRPr="00DE7D39">
              <w:rPr>
                <w:rFonts w:ascii="Times New Roman" w:hAnsi="Times New Roman" w:cs="Times New Roman"/>
              </w:rPr>
              <w:t>44,333</w:t>
            </w:r>
          </w:p>
        </w:tc>
      </w:tr>
      <w:tr w:rsidR="00670D87" w:rsidRPr="00DE7D39" w14:paraId="67176B62" w14:textId="77777777" w:rsidTr="00F276DB">
        <w:tc>
          <w:tcPr>
            <w:tcW w:w="2122" w:type="dxa"/>
          </w:tcPr>
          <w:p w14:paraId="2D6E660D" w14:textId="77777777" w:rsidR="00670D87" w:rsidRPr="00DE7D39" w:rsidRDefault="00670D87" w:rsidP="00F276DB">
            <w:pPr>
              <w:jc w:val="center"/>
              <w:rPr>
                <w:rFonts w:ascii="Times New Roman" w:hAnsi="Times New Roman" w:cs="Times New Roman"/>
              </w:rPr>
            </w:pPr>
            <w:r w:rsidRPr="00DE7D39">
              <w:rPr>
                <w:rFonts w:ascii="Times New Roman" w:hAnsi="Times New Roman" w:cs="Times New Roman"/>
              </w:rPr>
              <w:t>Spojené království</w:t>
            </w:r>
          </w:p>
        </w:tc>
        <w:tc>
          <w:tcPr>
            <w:tcW w:w="2268" w:type="dxa"/>
          </w:tcPr>
          <w:p w14:paraId="7F4DCF52" w14:textId="77777777" w:rsidR="00670D87" w:rsidRPr="00DE7D39" w:rsidRDefault="00670D87" w:rsidP="00F276DB">
            <w:pPr>
              <w:jc w:val="center"/>
              <w:rPr>
                <w:rFonts w:ascii="Times New Roman" w:hAnsi="Times New Roman" w:cs="Times New Roman"/>
              </w:rPr>
            </w:pPr>
            <w:r w:rsidRPr="00DE7D39">
              <w:rPr>
                <w:rFonts w:ascii="Times New Roman" w:hAnsi="Times New Roman" w:cs="Times New Roman"/>
              </w:rPr>
              <w:t>387,065</w:t>
            </w:r>
          </w:p>
        </w:tc>
      </w:tr>
      <w:tr w:rsidR="00670D87" w:rsidRPr="00DE7D39" w14:paraId="19957CEA" w14:textId="77777777" w:rsidTr="00F276DB">
        <w:tc>
          <w:tcPr>
            <w:tcW w:w="2122" w:type="dxa"/>
            <w:shd w:val="clear" w:color="auto" w:fill="E7E6E6" w:themeFill="background2"/>
          </w:tcPr>
          <w:p w14:paraId="087F6C57" w14:textId="77777777" w:rsidR="00670D87" w:rsidRPr="00DE7D39" w:rsidRDefault="00670D87" w:rsidP="00F276DB">
            <w:pPr>
              <w:jc w:val="center"/>
              <w:rPr>
                <w:rFonts w:ascii="Times New Roman" w:hAnsi="Times New Roman" w:cs="Times New Roman"/>
                <w:b/>
                <w:bCs/>
              </w:rPr>
            </w:pPr>
            <w:r w:rsidRPr="00DE7D39">
              <w:rPr>
                <w:rFonts w:ascii="Times New Roman" w:hAnsi="Times New Roman" w:cs="Times New Roman"/>
                <w:b/>
                <w:bCs/>
              </w:rPr>
              <w:t>DOHROMADY</w:t>
            </w:r>
          </w:p>
        </w:tc>
        <w:tc>
          <w:tcPr>
            <w:tcW w:w="2268" w:type="dxa"/>
            <w:shd w:val="clear" w:color="auto" w:fill="E7E6E6" w:themeFill="background2"/>
          </w:tcPr>
          <w:p w14:paraId="1B6C0200" w14:textId="77777777" w:rsidR="00670D87" w:rsidRPr="00DE7D39" w:rsidRDefault="00670D87" w:rsidP="00F276DB">
            <w:pPr>
              <w:jc w:val="center"/>
              <w:rPr>
                <w:rFonts w:ascii="Times New Roman" w:hAnsi="Times New Roman" w:cs="Times New Roman"/>
                <w:b/>
                <w:bCs/>
              </w:rPr>
            </w:pPr>
            <w:r w:rsidRPr="00DE7D39">
              <w:rPr>
                <w:rFonts w:ascii="Times New Roman" w:hAnsi="Times New Roman" w:cs="Times New Roman"/>
                <w:b/>
                <w:bCs/>
              </w:rPr>
              <w:t>4,243 577</w:t>
            </w:r>
          </w:p>
        </w:tc>
      </w:tr>
    </w:tbl>
    <w:p w14:paraId="16E5D85B" w14:textId="77777777" w:rsidR="00670D87" w:rsidRPr="00DE7D39" w:rsidRDefault="00670D87" w:rsidP="00670D87">
      <w:pPr>
        <w:jc w:val="both"/>
        <w:rPr>
          <w:rFonts w:ascii="Times New Roman" w:hAnsi="Times New Roman" w:cs="Times New Roman"/>
        </w:rPr>
      </w:pPr>
    </w:p>
    <w:p w14:paraId="0AA9C925" w14:textId="77777777" w:rsidR="00670D87" w:rsidRPr="00DE7D39" w:rsidRDefault="00670D87" w:rsidP="00670D87">
      <w:pPr>
        <w:jc w:val="both"/>
        <w:rPr>
          <w:rFonts w:ascii="Times New Roman" w:hAnsi="Times New Roman" w:cs="Times New Roman"/>
        </w:rPr>
      </w:pPr>
      <w:r w:rsidRPr="00DE7D39">
        <w:rPr>
          <w:rFonts w:ascii="Times New Roman" w:hAnsi="Times New Roman" w:cs="Times New Roman"/>
        </w:rPr>
        <w:t>Údaj o celkové ztrátě nezahrnuje pouze osobní automobily, ale také nákladní automobily, dodávky a autobusy. Ke ztrátě došlo důsledkem odstávek továren v souvislosti s COVID-19 v měsících od března do května. Výrobní kapacita se ani k dnešnímu dni nevrátila na předkrizovou úroveň.</w:t>
      </w:r>
    </w:p>
    <w:p w14:paraId="2E9638C1" w14:textId="77777777" w:rsidR="00670D87" w:rsidRPr="00DE7D39" w:rsidRDefault="00670D87" w:rsidP="00670D87">
      <w:pPr>
        <w:jc w:val="both"/>
        <w:rPr>
          <w:rFonts w:ascii="Times New Roman" w:hAnsi="Times New Roman" w:cs="Times New Roman"/>
        </w:rPr>
      </w:pPr>
    </w:p>
    <w:p w14:paraId="540C1350" w14:textId="77777777" w:rsidR="00670D87" w:rsidRPr="00DE7D39" w:rsidRDefault="00670D87" w:rsidP="00670D87">
      <w:pPr>
        <w:jc w:val="both"/>
        <w:rPr>
          <w:rFonts w:ascii="Times New Roman" w:hAnsi="Times New Roman" w:cs="Times New Roman"/>
        </w:rPr>
      </w:pPr>
      <w:r w:rsidRPr="00DE7D39">
        <w:rPr>
          <w:rFonts w:ascii="Times New Roman" w:hAnsi="Times New Roman" w:cs="Times New Roman"/>
        </w:rPr>
        <w:t>Pokles se netýká pouze výroby v automobilovém průmyslu, ale také samotné registrace osobních automobilů, která za celý rok 2020 poklesla celkem o 23,7 %.</w:t>
      </w:r>
    </w:p>
    <w:p w14:paraId="6E4DBDAD" w14:textId="77777777" w:rsidR="00670D87" w:rsidRPr="00DE7D39" w:rsidRDefault="00670D87" w:rsidP="00670D87">
      <w:pPr>
        <w:jc w:val="both"/>
        <w:rPr>
          <w:rFonts w:ascii="Times New Roman" w:hAnsi="Times New Roman" w:cs="Times New Roman"/>
        </w:rPr>
      </w:pPr>
    </w:p>
    <w:p w14:paraId="377278FB" w14:textId="77777777" w:rsidR="00670D87" w:rsidRPr="00DE7D39" w:rsidRDefault="00670D87" w:rsidP="00670D87">
      <w:pPr>
        <w:jc w:val="both"/>
        <w:rPr>
          <w:rFonts w:ascii="Times New Roman" w:hAnsi="Times New Roman" w:cs="Times New Roman"/>
        </w:rPr>
      </w:pPr>
      <w:r w:rsidRPr="00DE7D39">
        <w:rPr>
          <w:rFonts w:ascii="Times New Roman" w:hAnsi="Times New Roman" w:cs="Times New Roman"/>
        </w:rPr>
        <w:t>Hlavním tématem online jednání byla strategie v oblasti baterií a s tím přechod na udržitelný průmysl, který je pro některé země daleko finančně náročnější než pro jiné, proto je zapotřebí finanční podpory ve formě dotací od EU.</w:t>
      </w:r>
    </w:p>
    <w:p w14:paraId="3D97F4A6" w14:textId="77777777" w:rsidR="00670D87" w:rsidRPr="00DE7D39" w:rsidRDefault="00670D87" w:rsidP="00670D87">
      <w:pPr>
        <w:jc w:val="both"/>
        <w:rPr>
          <w:rFonts w:ascii="Times New Roman" w:hAnsi="Times New Roman" w:cs="Times New Roman"/>
        </w:rPr>
      </w:pPr>
    </w:p>
    <w:p w14:paraId="09915861" w14:textId="77777777" w:rsidR="00670D87" w:rsidRPr="00DE7D39" w:rsidRDefault="00670D87" w:rsidP="00670D87">
      <w:pPr>
        <w:jc w:val="both"/>
        <w:rPr>
          <w:rFonts w:ascii="Times New Roman" w:hAnsi="Times New Roman" w:cs="Times New Roman"/>
          <w:b/>
          <w:bCs/>
        </w:rPr>
      </w:pPr>
      <w:r w:rsidRPr="00DE7D39">
        <w:rPr>
          <w:rFonts w:ascii="Times New Roman" w:hAnsi="Times New Roman" w:cs="Times New Roman"/>
          <w:b/>
          <w:bCs/>
        </w:rPr>
        <w:t>Strategie EU v oblasti baterií</w:t>
      </w:r>
    </w:p>
    <w:p w14:paraId="27F82D13" w14:textId="77777777" w:rsidR="00670D87" w:rsidRPr="00DE7D39" w:rsidRDefault="00670D87" w:rsidP="00670D87">
      <w:pPr>
        <w:jc w:val="both"/>
        <w:rPr>
          <w:rFonts w:ascii="Times New Roman" w:hAnsi="Times New Roman" w:cs="Times New Roman"/>
        </w:rPr>
      </w:pPr>
      <w:r w:rsidRPr="00DE7D39">
        <w:rPr>
          <w:rFonts w:ascii="Times New Roman" w:hAnsi="Times New Roman" w:cs="Times New Roman"/>
        </w:rPr>
        <w:t xml:space="preserve">Evropská aliance baterií (EBA) byla zahájena v roce 2017 Evropskou komisí, zeměmi EU, průmyslem a vědeckou komunitou. Baterie jsou strategickou součástí čistého a digitálního přechodu v Evropě a klíčovou základní technologií nezbytnou pro konkurenceschopnost automobilového </w:t>
      </w:r>
      <w:proofErr w:type="gramStart"/>
      <w:r w:rsidRPr="00DE7D39">
        <w:rPr>
          <w:rFonts w:ascii="Times New Roman" w:hAnsi="Times New Roman" w:cs="Times New Roman"/>
        </w:rPr>
        <w:t>odvětví -</w:t>
      </w:r>
      <w:r>
        <w:rPr>
          <w:rFonts w:ascii="Times New Roman" w:hAnsi="Times New Roman" w:cs="Times New Roman"/>
        </w:rPr>
        <w:t xml:space="preserve"> </w:t>
      </w:r>
      <w:r w:rsidRPr="00DE7D39">
        <w:rPr>
          <w:rFonts w:ascii="Times New Roman" w:hAnsi="Times New Roman" w:cs="Times New Roman"/>
        </w:rPr>
        <w:t>pro</w:t>
      </w:r>
      <w:proofErr w:type="gramEnd"/>
      <w:r w:rsidRPr="00DE7D39">
        <w:rPr>
          <w:rFonts w:ascii="Times New Roman" w:hAnsi="Times New Roman" w:cs="Times New Roman"/>
        </w:rPr>
        <w:t xml:space="preserve"> elektromobily. Komise proto usiluje o to, aby se Evropa stala světovým lídrem v oblasti udržitelné výroby a používání baterií.</w:t>
      </w:r>
    </w:p>
    <w:p w14:paraId="76E5EF57" w14:textId="77777777" w:rsidR="00670D87" w:rsidRPr="00DE7D39" w:rsidRDefault="00670D87" w:rsidP="00670D87">
      <w:pPr>
        <w:jc w:val="both"/>
        <w:rPr>
          <w:rFonts w:ascii="Times New Roman" w:hAnsi="Times New Roman" w:cs="Times New Roman"/>
        </w:rPr>
      </w:pPr>
    </w:p>
    <w:p w14:paraId="6E1BDAB5" w14:textId="77777777" w:rsidR="00670D87" w:rsidRPr="00DE7D39" w:rsidRDefault="00670D87" w:rsidP="00670D87">
      <w:pPr>
        <w:jc w:val="both"/>
        <w:rPr>
          <w:rFonts w:ascii="Times New Roman" w:hAnsi="Times New Roman" w:cs="Times New Roman"/>
        </w:rPr>
      </w:pPr>
      <w:r w:rsidRPr="00DE7D39">
        <w:rPr>
          <w:rFonts w:ascii="Times New Roman" w:hAnsi="Times New Roman" w:cs="Times New Roman"/>
        </w:rPr>
        <w:t xml:space="preserve">Hlavním cílem aliance je vybudovat technologii baterií a výrobní kapacitu v EU, což je zásadní pro </w:t>
      </w:r>
      <w:proofErr w:type="spellStart"/>
      <w:r w:rsidRPr="00DE7D39">
        <w:rPr>
          <w:rFonts w:ascii="Times New Roman" w:hAnsi="Times New Roman" w:cs="Times New Roman"/>
        </w:rPr>
        <w:t>nízkoemisní</w:t>
      </w:r>
      <w:proofErr w:type="spellEnd"/>
      <w:r w:rsidRPr="00DE7D39">
        <w:rPr>
          <w:rFonts w:ascii="Times New Roman" w:hAnsi="Times New Roman" w:cs="Times New Roman"/>
        </w:rPr>
        <w:t xml:space="preserve"> mobilitu, skladování energie a evropskou hospodářskou strategii. Při zahájení aliance neměla Evropa téměř žádnou výrobu bateriových článků. Na světovém trhu se EU podílela pouze asi 3 % a čelila tak v budoucnosti závislosti na zahraničních dodavatelích baterií. Baterie přitom tvoří v elektromobilech klíčový komponent – připadá na ně přibližně 50 % ceny vozu.</w:t>
      </w:r>
    </w:p>
    <w:p w14:paraId="3DA24691" w14:textId="77777777" w:rsidR="00670D87" w:rsidRPr="00DE7D39" w:rsidRDefault="00670D87" w:rsidP="00670D87">
      <w:pPr>
        <w:jc w:val="both"/>
        <w:rPr>
          <w:rFonts w:ascii="Times New Roman" w:hAnsi="Times New Roman" w:cs="Times New Roman"/>
        </w:rPr>
      </w:pPr>
    </w:p>
    <w:p w14:paraId="157A0969" w14:textId="77777777" w:rsidR="00670D87" w:rsidRPr="00DE7D39" w:rsidRDefault="00670D87" w:rsidP="00670D87">
      <w:pPr>
        <w:jc w:val="both"/>
        <w:rPr>
          <w:rFonts w:ascii="Times New Roman" w:hAnsi="Times New Roman" w:cs="Times New Roman"/>
        </w:rPr>
      </w:pPr>
      <w:r w:rsidRPr="00DE7D39">
        <w:rPr>
          <w:rFonts w:ascii="Times New Roman" w:hAnsi="Times New Roman" w:cs="Times New Roman"/>
        </w:rPr>
        <w:t xml:space="preserve">V souladu s Evropskou zelenou dohodou, akčním plánem pro oběhové hospodářství a průmyslovou strategií, pracuje aliance na konkurenceschopném, oběhovém, udržitelném a bezpečném hodnotovém řetězci pro všechny baterie uváděné na trh EU. </w:t>
      </w:r>
    </w:p>
    <w:p w14:paraId="05C7C7BB" w14:textId="77777777" w:rsidR="00670D87" w:rsidRPr="00DE7D39" w:rsidRDefault="00670D87" w:rsidP="00670D87">
      <w:pPr>
        <w:jc w:val="both"/>
        <w:rPr>
          <w:rFonts w:ascii="Times New Roman" w:hAnsi="Times New Roman" w:cs="Times New Roman"/>
        </w:rPr>
      </w:pPr>
    </w:p>
    <w:p w14:paraId="5C460874" w14:textId="77777777" w:rsidR="00670D87" w:rsidRPr="00DE7D39" w:rsidRDefault="00670D87" w:rsidP="00670D87">
      <w:pPr>
        <w:jc w:val="both"/>
        <w:rPr>
          <w:rFonts w:ascii="Times New Roman" w:hAnsi="Times New Roman" w:cs="Times New Roman"/>
        </w:rPr>
      </w:pPr>
      <w:r w:rsidRPr="00DE7D39">
        <w:rPr>
          <w:rFonts w:ascii="Times New Roman" w:hAnsi="Times New Roman" w:cs="Times New Roman"/>
        </w:rPr>
        <w:t>V roce 2018 přijala Komise strategický akční plán pro baterie. Stanovuje komplexní rámec regulačních a neregulačních opatření na podporu všech segmentů hodnotového řetězce baterií a zahrnuje níže uvedených 6 prioritních oblastí:</w:t>
      </w:r>
    </w:p>
    <w:p w14:paraId="05BF3AD6" w14:textId="77777777" w:rsidR="00670D87" w:rsidRPr="00DE7D39" w:rsidRDefault="00670D87" w:rsidP="00670D87">
      <w:pPr>
        <w:jc w:val="both"/>
        <w:rPr>
          <w:rFonts w:ascii="Times New Roman" w:hAnsi="Times New Roman" w:cs="Times New Roman"/>
        </w:rPr>
      </w:pPr>
    </w:p>
    <w:p w14:paraId="1440DE6A" w14:textId="77777777" w:rsidR="00670D87" w:rsidRPr="00DE7D39" w:rsidRDefault="00670D87" w:rsidP="00670D87">
      <w:pPr>
        <w:pStyle w:val="Odstavecseseznamem"/>
        <w:numPr>
          <w:ilvl w:val="0"/>
          <w:numId w:val="2"/>
        </w:numPr>
        <w:jc w:val="both"/>
        <w:rPr>
          <w:rFonts w:ascii="Times New Roman" w:hAnsi="Times New Roman" w:cs="Times New Roman"/>
        </w:rPr>
      </w:pPr>
      <w:r w:rsidRPr="00DE7D39">
        <w:rPr>
          <w:rFonts w:ascii="Times New Roman" w:hAnsi="Times New Roman" w:cs="Times New Roman"/>
        </w:rPr>
        <w:t>Zabezpečení přístupu k surovinám pro baterie.</w:t>
      </w:r>
    </w:p>
    <w:p w14:paraId="17A1449A" w14:textId="77777777" w:rsidR="00670D87" w:rsidRPr="00DE7D39" w:rsidRDefault="00670D87" w:rsidP="00670D87">
      <w:pPr>
        <w:pStyle w:val="Odstavecseseznamem"/>
        <w:numPr>
          <w:ilvl w:val="0"/>
          <w:numId w:val="2"/>
        </w:numPr>
        <w:jc w:val="both"/>
        <w:rPr>
          <w:rFonts w:ascii="Times New Roman" w:hAnsi="Times New Roman" w:cs="Times New Roman"/>
        </w:rPr>
      </w:pPr>
      <w:r w:rsidRPr="00DE7D39">
        <w:rPr>
          <w:rFonts w:ascii="Times New Roman" w:hAnsi="Times New Roman" w:cs="Times New Roman"/>
        </w:rPr>
        <w:t>Podpora evropské výroby bateriových článků a další investice.</w:t>
      </w:r>
    </w:p>
    <w:p w14:paraId="20D19559" w14:textId="77777777" w:rsidR="00670D87" w:rsidRPr="00DE7D39" w:rsidRDefault="00670D87" w:rsidP="00670D87">
      <w:pPr>
        <w:pStyle w:val="Odstavecseseznamem"/>
        <w:numPr>
          <w:ilvl w:val="0"/>
          <w:numId w:val="2"/>
        </w:numPr>
        <w:jc w:val="both"/>
        <w:rPr>
          <w:rFonts w:ascii="Times New Roman" w:hAnsi="Times New Roman" w:cs="Times New Roman"/>
        </w:rPr>
      </w:pPr>
      <w:r w:rsidRPr="00DE7D39">
        <w:rPr>
          <w:rFonts w:ascii="Times New Roman" w:hAnsi="Times New Roman" w:cs="Times New Roman"/>
        </w:rPr>
        <w:lastRenderedPageBreak/>
        <w:t>Posílení vedoucího postavení v průmyslu prostřednictvím zrychlených programů výzkumu a inovací.</w:t>
      </w:r>
    </w:p>
    <w:p w14:paraId="235B4329" w14:textId="77777777" w:rsidR="00670D87" w:rsidRPr="00DE7D39" w:rsidRDefault="00670D87" w:rsidP="00670D87">
      <w:pPr>
        <w:pStyle w:val="Odstavecseseznamem"/>
        <w:numPr>
          <w:ilvl w:val="0"/>
          <w:numId w:val="2"/>
        </w:numPr>
        <w:jc w:val="both"/>
        <w:rPr>
          <w:rFonts w:ascii="Times New Roman" w:hAnsi="Times New Roman" w:cs="Times New Roman"/>
        </w:rPr>
      </w:pPr>
      <w:r w:rsidRPr="00DE7D39">
        <w:rPr>
          <w:rFonts w:ascii="Times New Roman" w:hAnsi="Times New Roman" w:cs="Times New Roman"/>
        </w:rPr>
        <w:t>Zajištění vysoce kvalifikované pracovní síly v celém hodnotovém řetězci.</w:t>
      </w:r>
    </w:p>
    <w:p w14:paraId="7F2C4ED6" w14:textId="77777777" w:rsidR="00670D87" w:rsidRPr="00DE7D39" w:rsidRDefault="00670D87" w:rsidP="00670D87">
      <w:pPr>
        <w:pStyle w:val="Odstavecseseznamem"/>
        <w:numPr>
          <w:ilvl w:val="0"/>
          <w:numId w:val="2"/>
        </w:numPr>
        <w:jc w:val="both"/>
        <w:rPr>
          <w:rFonts w:ascii="Times New Roman" w:hAnsi="Times New Roman" w:cs="Times New Roman"/>
        </w:rPr>
      </w:pPr>
      <w:r w:rsidRPr="00DE7D39">
        <w:rPr>
          <w:rFonts w:ascii="Times New Roman" w:hAnsi="Times New Roman" w:cs="Times New Roman"/>
        </w:rPr>
        <w:t>Podpora udržitelného odvětví výroby bateriových článků v EU.</w:t>
      </w:r>
    </w:p>
    <w:p w14:paraId="61D96ADD" w14:textId="77777777" w:rsidR="00670D87" w:rsidRPr="00DE7D39" w:rsidRDefault="00670D87" w:rsidP="00670D87">
      <w:pPr>
        <w:pStyle w:val="Odstavecseseznamem"/>
        <w:numPr>
          <w:ilvl w:val="0"/>
          <w:numId w:val="2"/>
        </w:numPr>
        <w:jc w:val="both"/>
        <w:rPr>
          <w:rFonts w:ascii="Times New Roman" w:hAnsi="Times New Roman" w:cs="Times New Roman"/>
        </w:rPr>
      </w:pPr>
      <w:r w:rsidRPr="00DE7D39">
        <w:rPr>
          <w:rFonts w:ascii="Times New Roman" w:hAnsi="Times New Roman" w:cs="Times New Roman"/>
        </w:rPr>
        <w:t>Zajištění souladu s širšími rámci.</w:t>
      </w:r>
    </w:p>
    <w:p w14:paraId="6CE59BB1" w14:textId="77777777" w:rsidR="00670D87" w:rsidRPr="00DE7D39" w:rsidRDefault="00670D87" w:rsidP="00670D87">
      <w:pPr>
        <w:jc w:val="both"/>
        <w:rPr>
          <w:rFonts w:ascii="Times New Roman" w:hAnsi="Times New Roman" w:cs="Times New Roman"/>
          <w:b/>
          <w:bCs/>
        </w:rPr>
      </w:pPr>
    </w:p>
    <w:p w14:paraId="3F92B55C" w14:textId="77777777" w:rsidR="00670D87" w:rsidRPr="00DE7D39" w:rsidRDefault="00670D87" w:rsidP="00670D87">
      <w:pPr>
        <w:jc w:val="both"/>
        <w:rPr>
          <w:rFonts w:ascii="Times New Roman" w:hAnsi="Times New Roman" w:cs="Times New Roman"/>
          <w:b/>
          <w:bCs/>
        </w:rPr>
      </w:pPr>
      <w:r w:rsidRPr="00DE7D39">
        <w:rPr>
          <w:rFonts w:ascii="Times New Roman" w:hAnsi="Times New Roman" w:cs="Times New Roman"/>
          <w:b/>
          <w:bCs/>
        </w:rPr>
        <w:t>Rostoucí využívání baterií bude hrát zásadní roli při zajišťování přechodu ke klimaticky neutrální ekonomice.</w:t>
      </w:r>
    </w:p>
    <w:p w14:paraId="7A445F2A" w14:textId="77777777" w:rsidR="00670D87" w:rsidRPr="00DE7D39" w:rsidRDefault="00670D87" w:rsidP="00670D87">
      <w:pPr>
        <w:jc w:val="both"/>
        <w:rPr>
          <w:rFonts w:ascii="Times New Roman" w:hAnsi="Times New Roman" w:cs="Times New Roman"/>
          <w:b/>
          <w:bCs/>
        </w:rPr>
      </w:pPr>
    </w:p>
    <w:p w14:paraId="2C03B8CF" w14:textId="77777777" w:rsidR="00670D87" w:rsidRPr="00DE7D39" w:rsidRDefault="00670D87" w:rsidP="00670D87">
      <w:pPr>
        <w:jc w:val="both"/>
        <w:rPr>
          <w:rFonts w:ascii="Times New Roman" w:hAnsi="Times New Roman" w:cs="Times New Roman"/>
          <w:color w:val="000000" w:themeColor="text1"/>
        </w:rPr>
      </w:pPr>
      <w:r w:rsidRPr="00DE7D39">
        <w:rPr>
          <w:rFonts w:ascii="Times New Roman" w:hAnsi="Times New Roman" w:cs="Times New Roman"/>
          <w:color w:val="000000" w:themeColor="text1"/>
        </w:rPr>
        <w:t>Cílem je:</w:t>
      </w:r>
    </w:p>
    <w:p w14:paraId="25D59C11" w14:textId="77777777" w:rsidR="00670D87" w:rsidRPr="00DE7D39" w:rsidRDefault="00670D87" w:rsidP="00670D87">
      <w:pPr>
        <w:pStyle w:val="Odstavecseseznamem"/>
        <w:numPr>
          <w:ilvl w:val="0"/>
          <w:numId w:val="3"/>
        </w:numPr>
        <w:jc w:val="both"/>
        <w:rPr>
          <w:rFonts w:ascii="Times New Roman" w:hAnsi="Times New Roman" w:cs="Times New Roman"/>
        </w:rPr>
      </w:pPr>
      <w:r w:rsidRPr="00DE7D39">
        <w:rPr>
          <w:rFonts w:ascii="Times New Roman" w:hAnsi="Times New Roman" w:cs="Times New Roman"/>
        </w:rPr>
        <w:t>Vybudovat větší ekonomickou suverenitu a nezávislost ve strategicky důležitém odvětví,</w:t>
      </w:r>
    </w:p>
    <w:p w14:paraId="0ED0FADE" w14:textId="77777777" w:rsidR="00670D87" w:rsidRPr="00DE7D39" w:rsidRDefault="00670D87" w:rsidP="00670D87">
      <w:pPr>
        <w:pStyle w:val="Odstavecseseznamem"/>
        <w:numPr>
          <w:ilvl w:val="0"/>
          <w:numId w:val="3"/>
        </w:numPr>
        <w:jc w:val="both"/>
        <w:rPr>
          <w:rFonts w:ascii="Times New Roman" w:hAnsi="Times New Roman" w:cs="Times New Roman"/>
        </w:rPr>
      </w:pPr>
      <w:r w:rsidRPr="00DE7D39">
        <w:rPr>
          <w:rFonts w:ascii="Times New Roman" w:hAnsi="Times New Roman" w:cs="Times New Roman"/>
        </w:rPr>
        <w:t xml:space="preserve">velké továrny na baterie: Evropa má ve výstavbě 15 velkých továren na baterie, včetně švédských společností </w:t>
      </w:r>
      <w:proofErr w:type="spellStart"/>
      <w:r w:rsidRPr="00DE7D39">
        <w:rPr>
          <w:rFonts w:ascii="Times New Roman" w:hAnsi="Times New Roman" w:cs="Times New Roman"/>
        </w:rPr>
        <w:t>Northvolt</w:t>
      </w:r>
      <w:proofErr w:type="spellEnd"/>
      <w:r w:rsidRPr="00DE7D39">
        <w:rPr>
          <w:rFonts w:ascii="Times New Roman" w:hAnsi="Times New Roman" w:cs="Times New Roman"/>
        </w:rPr>
        <w:t xml:space="preserve"> ve Švédsku a Německu, čínského výrobce baterií CATL v německém závodě a druhý závod jihokorejské společnosti SK </w:t>
      </w:r>
      <w:proofErr w:type="spellStart"/>
      <w:r w:rsidRPr="00DE7D39">
        <w:rPr>
          <w:rFonts w:ascii="Times New Roman" w:hAnsi="Times New Roman" w:cs="Times New Roman"/>
        </w:rPr>
        <w:t>Innovation</w:t>
      </w:r>
      <w:proofErr w:type="spellEnd"/>
      <w:r w:rsidRPr="00DE7D39">
        <w:rPr>
          <w:rFonts w:ascii="Times New Roman" w:hAnsi="Times New Roman" w:cs="Times New Roman"/>
        </w:rPr>
        <w:t xml:space="preserve"> v Maďarsku.</w:t>
      </w:r>
    </w:p>
    <w:p w14:paraId="0234BD17" w14:textId="77777777" w:rsidR="00670D87" w:rsidRPr="00DE7D39" w:rsidRDefault="00670D87" w:rsidP="00670D87">
      <w:pPr>
        <w:jc w:val="both"/>
        <w:rPr>
          <w:rFonts w:ascii="Times New Roman" w:hAnsi="Times New Roman" w:cs="Times New Roman"/>
        </w:rPr>
      </w:pPr>
    </w:p>
    <w:p w14:paraId="3C46D5CD" w14:textId="77777777" w:rsidR="00670D87" w:rsidRPr="00DE7D39" w:rsidRDefault="00670D87" w:rsidP="00670D87">
      <w:pPr>
        <w:jc w:val="both"/>
        <w:rPr>
          <w:rFonts w:ascii="Times New Roman" w:hAnsi="Times New Roman" w:cs="Times New Roman"/>
          <w:b/>
          <w:bCs/>
        </w:rPr>
      </w:pPr>
      <w:r w:rsidRPr="00DE7D39">
        <w:rPr>
          <w:rFonts w:ascii="Times New Roman" w:hAnsi="Times New Roman" w:cs="Times New Roman"/>
          <w:b/>
          <w:bCs/>
        </w:rPr>
        <w:t>Nedostatek polovodičů</w:t>
      </w:r>
    </w:p>
    <w:p w14:paraId="0484E708" w14:textId="77777777" w:rsidR="00670D87" w:rsidRPr="00DE7D39" w:rsidRDefault="00670D87" w:rsidP="00670D87">
      <w:pPr>
        <w:jc w:val="both"/>
        <w:rPr>
          <w:rFonts w:ascii="Times New Roman" w:hAnsi="Times New Roman" w:cs="Times New Roman"/>
        </w:rPr>
      </w:pPr>
      <w:r w:rsidRPr="00DE7D39">
        <w:rPr>
          <w:rFonts w:ascii="Times New Roman" w:hAnsi="Times New Roman" w:cs="Times New Roman"/>
        </w:rPr>
        <w:t xml:space="preserve">Nedostatek polovodičů je problém vzniklý </w:t>
      </w:r>
      <w:proofErr w:type="spellStart"/>
      <w:r w:rsidRPr="00DE7D39">
        <w:rPr>
          <w:rFonts w:ascii="Times New Roman" w:hAnsi="Times New Roman" w:cs="Times New Roman"/>
        </w:rPr>
        <w:t>koronavirovou</w:t>
      </w:r>
      <w:proofErr w:type="spellEnd"/>
      <w:r w:rsidRPr="00DE7D39">
        <w:rPr>
          <w:rFonts w:ascii="Times New Roman" w:hAnsi="Times New Roman" w:cs="Times New Roman"/>
        </w:rPr>
        <w:t xml:space="preserve"> situací, kdy výrobci polovodičů během této doby směřovali produkci do jiných odvětví než automobilového průmyslu, zejména do oblasti spotřební elektroniky.</w:t>
      </w:r>
    </w:p>
    <w:p w14:paraId="799FC1F2" w14:textId="77777777" w:rsidR="00670D87" w:rsidRPr="00DE7D39" w:rsidRDefault="00670D87" w:rsidP="00670D87">
      <w:pPr>
        <w:jc w:val="both"/>
        <w:rPr>
          <w:rFonts w:ascii="Times New Roman" w:hAnsi="Times New Roman" w:cs="Times New Roman"/>
        </w:rPr>
      </w:pPr>
      <w:r w:rsidRPr="00DE7D39">
        <w:rPr>
          <w:rFonts w:ascii="Times New Roman" w:hAnsi="Times New Roman" w:cs="Times New Roman"/>
          <w:color w:val="000000" w:themeColor="text1"/>
          <w:shd w:val="clear" w:color="auto" w:fill="FFFFFF"/>
        </w:rPr>
        <w:t>Například</w:t>
      </w:r>
      <w:r w:rsidRPr="00DE7D39">
        <w:rPr>
          <w:rFonts w:ascii="Times New Roman" w:hAnsi="Times New Roman" w:cs="Times New Roman"/>
        </w:rPr>
        <w:t xml:space="preserve"> společnost LMC </w:t>
      </w:r>
      <w:proofErr w:type="spellStart"/>
      <w:r w:rsidRPr="00DE7D39">
        <w:rPr>
          <w:rFonts w:ascii="Times New Roman" w:hAnsi="Times New Roman" w:cs="Times New Roman"/>
        </w:rPr>
        <w:t>Automotive</w:t>
      </w:r>
      <w:proofErr w:type="spellEnd"/>
      <w:r w:rsidRPr="00DE7D39">
        <w:rPr>
          <w:rFonts w:ascii="Times New Roman" w:hAnsi="Times New Roman" w:cs="Times New Roman"/>
        </w:rPr>
        <w:t xml:space="preserve"> očekává v prvním čtvrtletí v Evropě schodek 200 000 vozidel, celosvětově se v první polovině roku 2021 očekává schodek 1 milion vozidel, a to z důvodu nedostatku polovodičů.</w:t>
      </w:r>
    </w:p>
    <w:p w14:paraId="00E048EB" w14:textId="77777777" w:rsidR="00670D87" w:rsidRPr="00DE7D39" w:rsidRDefault="00670D87" w:rsidP="00670D87">
      <w:pPr>
        <w:jc w:val="both"/>
        <w:rPr>
          <w:rFonts w:ascii="Times New Roman" w:hAnsi="Times New Roman" w:cs="Times New Roman"/>
          <w:b/>
          <w:bCs/>
        </w:rPr>
      </w:pPr>
    </w:p>
    <w:p w14:paraId="375A1758" w14:textId="77777777" w:rsidR="00670D87" w:rsidRPr="00DE7D39" w:rsidRDefault="00670D87" w:rsidP="00670D87">
      <w:pPr>
        <w:jc w:val="both"/>
        <w:rPr>
          <w:rFonts w:ascii="Times New Roman" w:hAnsi="Times New Roman" w:cs="Times New Roman"/>
          <w:b/>
          <w:bCs/>
        </w:rPr>
      </w:pPr>
      <w:r w:rsidRPr="00DE7D39">
        <w:rPr>
          <w:rFonts w:ascii="Times New Roman" w:hAnsi="Times New Roman" w:cs="Times New Roman"/>
          <w:b/>
          <w:bCs/>
        </w:rPr>
        <w:t>Projekt Digitální kompas</w:t>
      </w:r>
    </w:p>
    <w:p w14:paraId="163E58C0" w14:textId="77777777" w:rsidR="00670D87" w:rsidRPr="00DE7D39" w:rsidRDefault="00670D87" w:rsidP="00670D87">
      <w:pPr>
        <w:jc w:val="both"/>
        <w:rPr>
          <w:rFonts w:ascii="Times New Roman" w:hAnsi="Times New Roman" w:cs="Times New Roman"/>
        </w:rPr>
      </w:pPr>
      <w:r w:rsidRPr="00DE7D39">
        <w:rPr>
          <w:rFonts w:ascii="Times New Roman" w:hAnsi="Times New Roman" w:cs="Times New Roman"/>
        </w:rPr>
        <w:t>Tento projekt představila Evropská komise 9. 3. 2021, cílem je dosažení digitální transformace Evropy do roku 2030. Tento krok má rovněž zásadní význam pro dosažení přechodu na klimaticky neutrální, oběhové a odolné hospodářství. Do roku 2030 bude výroba špičkových a udržitelných polovodičů v Evropě včetně procesorů představovat minimálně 20 procent světové produkce.</w:t>
      </w:r>
    </w:p>
    <w:p w14:paraId="70DF6B27" w14:textId="77777777" w:rsidR="00670D87" w:rsidRPr="00DE7D39" w:rsidRDefault="00670D87" w:rsidP="00670D87">
      <w:pPr>
        <w:jc w:val="both"/>
        <w:rPr>
          <w:rFonts w:ascii="Times New Roman" w:hAnsi="Times New Roman" w:cs="Times New Roman"/>
        </w:rPr>
      </w:pPr>
      <w:r w:rsidRPr="00DE7D39">
        <w:rPr>
          <w:rFonts w:ascii="Times New Roman" w:hAnsi="Times New Roman" w:cs="Times New Roman"/>
        </w:rPr>
        <w:t>Nový závod na výrobu polovodičů staví Bosch v Drážďanech. Tato investice předního dodavatele automobilového průmyslu je jeho největší investicí- 1 miliarda eur.</w:t>
      </w:r>
    </w:p>
    <w:p w14:paraId="461EBA38" w14:textId="77777777" w:rsidR="00670D87" w:rsidRPr="00DE7D39" w:rsidRDefault="00670D87" w:rsidP="00670D87">
      <w:pPr>
        <w:jc w:val="both"/>
        <w:rPr>
          <w:rFonts w:ascii="Times New Roman" w:hAnsi="Times New Roman" w:cs="Times New Roman"/>
        </w:rPr>
      </w:pPr>
    </w:p>
    <w:p w14:paraId="23DAC459" w14:textId="77777777" w:rsidR="00670D87" w:rsidRPr="00DE7D39" w:rsidRDefault="00670D87" w:rsidP="00670D87">
      <w:pPr>
        <w:jc w:val="both"/>
        <w:rPr>
          <w:rFonts w:ascii="Times New Roman" w:hAnsi="Times New Roman" w:cs="Times New Roman"/>
          <w:b/>
          <w:bCs/>
        </w:rPr>
      </w:pPr>
      <w:r w:rsidRPr="00DE7D39">
        <w:rPr>
          <w:rFonts w:ascii="Times New Roman" w:hAnsi="Times New Roman" w:cs="Times New Roman"/>
          <w:b/>
          <w:bCs/>
        </w:rPr>
        <w:t>Závěr</w:t>
      </w:r>
    </w:p>
    <w:p w14:paraId="1AAB412F" w14:textId="77777777" w:rsidR="00670D87" w:rsidRDefault="00670D87" w:rsidP="00670D87">
      <w:pPr>
        <w:jc w:val="both"/>
        <w:rPr>
          <w:rFonts w:ascii="Times New Roman" w:hAnsi="Times New Roman" w:cs="Times New Roman"/>
        </w:rPr>
      </w:pPr>
      <w:r w:rsidRPr="00DE7D39">
        <w:rPr>
          <w:rFonts w:ascii="Times New Roman" w:hAnsi="Times New Roman" w:cs="Times New Roman"/>
        </w:rPr>
        <w:t>Udržitelná mobilita a celý přechod k zelené ekonomice je velmi náročný ale nezbytný proces vyžadující průmyslovou strategii, zapojení odborových svazů z výrobního průmyslu a finanční podporu pro spravedlivý přechod k udržitelné ekonomice.</w:t>
      </w:r>
    </w:p>
    <w:p w14:paraId="36F05A0D" w14:textId="77777777" w:rsidR="00670D87" w:rsidRPr="00DE7D39" w:rsidRDefault="00670D87" w:rsidP="00670D87">
      <w:pPr>
        <w:jc w:val="both"/>
        <w:rPr>
          <w:rFonts w:ascii="Times New Roman" w:hAnsi="Times New Roman" w:cs="Times New Roman"/>
        </w:rPr>
      </w:pPr>
    </w:p>
    <w:p w14:paraId="3DBB847B" w14:textId="77777777" w:rsidR="00670D87" w:rsidRDefault="00670D87" w:rsidP="00670D87">
      <w:pPr>
        <w:jc w:val="both"/>
        <w:rPr>
          <w:rFonts w:ascii="Times New Roman" w:hAnsi="Times New Roman" w:cs="Times New Roman"/>
        </w:rPr>
      </w:pPr>
      <w:r w:rsidRPr="00DE7D39">
        <w:rPr>
          <w:rFonts w:ascii="Times New Roman" w:hAnsi="Times New Roman" w:cs="Times New Roman"/>
        </w:rPr>
        <w:t>Jednání se za OS zúčastnila Hrabě Tereza, specialista pro BOZP a organizační činnost.</w:t>
      </w:r>
    </w:p>
    <w:p w14:paraId="5DD641C4" w14:textId="77777777" w:rsidR="00670D87" w:rsidRDefault="00670D87" w:rsidP="00670D87">
      <w:pPr>
        <w:jc w:val="both"/>
        <w:rPr>
          <w:rFonts w:ascii="Times New Roman" w:hAnsi="Times New Roman" w:cs="Times New Roman"/>
        </w:rPr>
      </w:pPr>
      <w:r>
        <w:rPr>
          <w:rFonts w:ascii="Times New Roman" w:hAnsi="Times New Roman" w:cs="Times New Roman"/>
        </w:rPr>
        <w:t>___________________________________________________________________________</w:t>
      </w:r>
    </w:p>
    <w:p w14:paraId="7FA5E94C" w14:textId="77777777" w:rsidR="00670D87" w:rsidRPr="00DE7D39" w:rsidRDefault="00670D87" w:rsidP="00670D87">
      <w:pPr>
        <w:jc w:val="both"/>
        <w:rPr>
          <w:rFonts w:ascii="Times New Roman" w:hAnsi="Times New Roman" w:cs="Times New Roman"/>
        </w:rPr>
      </w:pPr>
    </w:p>
    <w:p w14:paraId="1AF3F46F" w14:textId="77777777" w:rsidR="00670D87" w:rsidRPr="00A973DB" w:rsidRDefault="00670D87" w:rsidP="00670D87">
      <w:pPr>
        <w:spacing w:before="120"/>
        <w:jc w:val="center"/>
        <w:rPr>
          <w:rFonts w:ascii="Times New Roman" w:hAnsi="Times New Roman" w:cs="Times New Roman"/>
          <w:b/>
          <w:snapToGrid w:val="0"/>
          <w:sz w:val="36"/>
          <w:szCs w:val="36"/>
        </w:rPr>
      </w:pPr>
      <w:r w:rsidRPr="00A973DB">
        <w:rPr>
          <w:rFonts w:ascii="Times New Roman" w:hAnsi="Times New Roman" w:cs="Times New Roman"/>
          <w:b/>
          <w:snapToGrid w:val="0"/>
          <w:sz w:val="36"/>
          <w:szCs w:val="36"/>
        </w:rPr>
        <w:t xml:space="preserve">Zpráva o účasti zástupců OS na online jednání výkonného výboru </w:t>
      </w:r>
      <w:proofErr w:type="spellStart"/>
      <w:r w:rsidRPr="00A973DB">
        <w:rPr>
          <w:rFonts w:ascii="Times New Roman" w:hAnsi="Times New Roman" w:cs="Times New Roman"/>
          <w:b/>
          <w:snapToGrid w:val="0"/>
          <w:sz w:val="36"/>
          <w:szCs w:val="36"/>
        </w:rPr>
        <w:t>industriAll</w:t>
      </w:r>
      <w:proofErr w:type="spellEnd"/>
      <w:r w:rsidRPr="00A973DB">
        <w:rPr>
          <w:rFonts w:ascii="Times New Roman" w:hAnsi="Times New Roman" w:cs="Times New Roman"/>
          <w:b/>
          <w:snapToGrid w:val="0"/>
          <w:sz w:val="36"/>
          <w:szCs w:val="36"/>
        </w:rPr>
        <w:t xml:space="preserve"> ve dnech 14. 4. – 15. 4. 2021.</w:t>
      </w:r>
    </w:p>
    <w:p w14:paraId="1BF5087D" w14:textId="77777777" w:rsidR="00670D87" w:rsidRPr="00586C54" w:rsidRDefault="00670D87" w:rsidP="00670D87">
      <w:pPr>
        <w:jc w:val="both"/>
        <w:rPr>
          <w:rFonts w:ascii="Times New Roman" w:hAnsi="Times New Roman" w:cs="Times New Roman"/>
          <w:sz w:val="28"/>
          <w:szCs w:val="28"/>
        </w:rPr>
      </w:pPr>
    </w:p>
    <w:p w14:paraId="225365CC"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 xml:space="preserve">Jednání bylo zahájeno 14. 5. 2021 souhrnem informací z výkonného výboru </w:t>
      </w:r>
      <w:proofErr w:type="spellStart"/>
      <w:r w:rsidRPr="00586C54">
        <w:rPr>
          <w:rFonts w:ascii="Times New Roman" w:hAnsi="Times New Roman" w:cs="Times New Roman"/>
        </w:rPr>
        <w:t>industriAll</w:t>
      </w:r>
      <w:proofErr w:type="spellEnd"/>
      <w:r w:rsidRPr="00586C54">
        <w:rPr>
          <w:rFonts w:ascii="Times New Roman" w:hAnsi="Times New Roman" w:cs="Times New Roman"/>
        </w:rPr>
        <w:t>, které se konalo 24. - 25. 11. 2020.</w:t>
      </w:r>
    </w:p>
    <w:p w14:paraId="74751A66" w14:textId="77777777" w:rsidR="00670D87" w:rsidRPr="00586C54" w:rsidRDefault="00670D87" w:rsidP="00670D87">
      <w:pPr>
        <w:jc w:val="both"/>
        <w:rPr>
          <w:rFonts w:ascii="Times New Roman" w:hAnsi="Times New Roman" w:cs="Times New Roman"/>
        </w:rPr>
      </w:pPr>
    </w:p>
    <w:p w14:paraId="4B82AC59"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lastRenderedPageBreak/>
        <w:t>Následovala prezentace aktuální ekonomické krize v souvislosti s Covid-19. Byla zdůrazněna potřeba boje na úrovni nadnárodních organizací. Rozdíly v hospodářských a sociálních dopadech v Evropě jsou velmi rozdílné, viz. obrázek č.1.</w:t>
      </w:r>
    </w:p>
    <w:p w14:paraId="6F1A9E62" w14:textId="77777777" w:rsidR="00670D87" w:rsidRPr="00586C54" w:rsidRDefault="00670D87" w:rsidP="00670D87">
      <w:pPr>
        <w:jc w:val="both"/>
        <w:rPr>
          <w:rFonts w:ascii="Times New Roman" w:hAnsi="Times New Roman" w:cs="Times New Roman"/>
          <w:sz w:val="28"/>
          <w:szCs w:val="28"/>
        </w:rPr>
      </w:pPr>
    </w:p>
    <w:p w14:paraId="6B3AFD73" w14:textId="77777777" w:rsidR="00670D87" w:rsidRPr="00586C54" w:rsidRDefault="00670D87" w:rsidP="00670D87">
      <w:pPr>
        <w:jc w:val="both"/>
        <w:rPr>
          <w:rFonts w:ascii="Times New Roman" w:hAnsi="Times New Roman" w:cs="Times New Roman"/>
          <w:sz w:val="28"/>
          <w:szCs w:val="28"/>
        </w:rPr>
      </w:pPr>
      <w:r w:rsidRPr="00586C54">
        <w:rPr>
          <w:rFonts w:ascii="Times New Roman" w:hAnsi="Times New Roman" w:cs="Times New Roman"/>
          <w:noProof/>
        </w:rPr>
        <w:drawing>
          <wp:inline distT="0" distB="0" distL="0" distR="0" wp14:anchorId="38513578" wp14:editId="1E7D122A">
            <wp:extent cx="3982770" cy="4268761"/>
            <wp:effectExtent l="0" t="0" r="5080" b="0"/>
            <wp:docPr id="6" name="Picture 5">
              <a:extLst xmlns:a="http://schemas.openxmlformats.org/drawingml/2006/main">
                <a:ext uri="{FF2B5EF4-FFF2-40B4-BE49-F238E27FC236}">
                  <a16:creationId xmlns:a16="http://schemas.microsoft.com/office/drawing/2014/main" id="{C091981D-5D14-480F-8CDF-C776B0CDBE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C091981D-5D14-480F-8CDF-C776B0CDBE59}"/>
                        </a:ext>
                      </a:extLst>
                    </pic:cNvPr>
                    <pic:cNvPicPr>
                      <a:picLocks noChangeAspect="1"/>
                    </pic:cNvPicPr>
                  </pic:nvPicPr>
                  <pic:blipFill>
                    <a:blip r:embed="rId6"/>
                    <a:stretch>
                      <a:fillRect/>
                    </a:stretch>
                  </pic:blipFill>
                  <pic:spPr>
                    <a:xfrm>
                      <a:off x="0" y="0"/>
                      <a:ext cx="4020042" cy="4308710"/>
                    </a:xfrm>
                    <a:prstGeom prst="rect">
                      <a:avLst/>
                    </a:prstGeom>
                  </pic:spPr>
                </pic:pic>
              </a:graphicData>
            </a:graphic>
          </wp:inline>
        </w:drawing>
      </w:r>
    </w:p>
    <w:p w14:paraId="511A1BB0"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Obr. č. 1. růst HDP v roce 2020 (levá strana) a růst HDP v roce 2021 (pravá strana)</w:t>
      </w:r>
    </w:p>
    <w:p w14:paraId="71A512F7"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 xml:space="preserve">Krize spojená s Covidem-19 způsobila ještě větší rozdíly mezi nejchudší a nejbohatší vrstvou. Je třeba existence silných odborů jak na místní, tak na národní, ale i evropské úrovni. Obecně lze konstatovat, že země v jižní Evropě platí za krizi daleko vyšší cenu, a to z důvodu ztráty příjmu z turistiky např.: Řecko a Španělsko přišlo v roce 2020 o desetinu svého HDP. Oproti tomu země severní Evropy přišly pouze o </w:t>
      </w:r>
      <w:proofErr w:type="gramStart"/>
      <w:r w:rsidRPr="00586C54">
        <w:rPr>
          <w:rFonts w:ascii="Times New Roman" w:hAnsi="Times New Roman" w:cs="Times New Roman"/>
        </w:rPr>
        <w:t>3 - 4</w:t>
      </w:r>
      <w:proofErr w:type="gramEnd"/>
      <w:r w:rsidRPr="00586C54">
        <w:rPr>
          <w:rFonts w:ascii="Times New Roman" w:hAnsi="Times New Roman" w:cs="Times New Roman"/>
        </w:rPr>
        <w:t xml:space="preserve"> % HDP. V České republice došlo v roce 2020 k poklesu o 5,7 % HDP.</w:t>
      </w:r>
    </w:p>
    <w:p w14:paraId="64D57A60" w14:textId="77777777" w:rsidR="00670D87" w:rsidRDefault="00670D87" w:rsidP="00670D87">
      <w:pPr>
        <w:jc w:val="both"/>
        <w:rPr>
          <w:rFonts w:ascii="Times New Roman" w:hAnsi="Times New Roman" w:cs="Times New Roman"/>
        </w:rPr>
      </w:pPr>
      <w:r w:rsidRPr="00586C54">
        <w:rPr>
          <w:rFonts w:ascii="Times New Roman" w:hAnsi="Times New Roman" w:cs="Times New Roman"/>
        </w:rPr>
        <w:t>Z obrázku je také patrné, že se jednotlivé státy v roce 2021 zotavují, nicméně toto zotavení je velmi nerovnoměrné.</w:t>
      </w:r>
    </w:p>
    <w:p w14:paraId="6CC49D66" w14:textId="77777777" w:rsidR="00670D87" w:rsidRPr="00586C54" w:rsidRDefault="00670D87" w:rsidP="00670D87">
      <w:pPr>
        <w:jc w:val="both"/>
        <w:rPr>
          <w:rFonts w:ascii="Times New Roman" w:hAnsi="Times New Roman" w:cs="Times New Roman"/>
        </w:rPr>
      </w:pPr>
    </w:p>
    <w:p w14:paraId="4DD73ACE" w14:textId="77777777" w:rsidR="00670D87" w:rsidRPr="00586C54" w:rsidRDefault="00670D87" w:rsidP="00670D87">
      <w:pPr>
        <w:jc w:val="both"/>
        <w:rPr>
          <w:rFonts w:ascii="Times New Roman" w:hAnsi="Times New Roman" w:cs="Times New Roman"/>
          <w:b/>
          <w:bCs/>
        </w:rPr>
      </w:pPr>
      <w:r w:rsidRPr="00586C54">
        <w:rPr>
          <w:rFonts w:ascii="Times New Roman" w:hAnsi="Times New Roman" w:cs="Times New Roman"/>
          <w:b/>
          <w:bCs/>
        </w:rPr>
        <w:t xml:space="preserve">Nástroj pro obnovu a odolnost (RRF </w:t>
      </w:r>
      <w:proofErr w:type="spellStart"/>
      <w:r w:rsidRPr="00586C54">
        <w:rPr>
          <w:rFonts w:ascii="Times New Roman" w:hAnsi="Times New Roman" w:cs="Times New Roman"/>
          <w:b/>
          <w:bCs/>
        </w:rPr>
        <w:t>Recovery</w:t>
      </w:r>
      <w:proofErr w:type="spellEnd"/>
      <w:r w:rsidRPr="00586C54">
        <w:rPr>
          <w:rFonts w:ascii="Times New Roman" w:hAnsi="Times New Roman" w:cs="Times New Roman"/>
          <w:b/>
          <w:bCs/>
        </w:rPr>
        <w:t xml:space="preserve"> and </w:t>
      </w:r>
      <w:proofErr w:type="spellStart"/>
      <w:r w:rsidRPr="00586C54">
        <w:rPr>
          <w:rFonts w:ascii="Times New Roman" w:hAnsi="Times New Roman" w:cs="Times New Roman"/>
          <w:b/>
          <w:bCs/>
        </w:rPr>
        <w:t>Resilience</w:t>
      </w:r>
      <w:proofErr w:type="spellEnd"/>
      <w:r w:rsidRPr="00586C54">
        <w:rPr>
          <w:rFonts w:ascii="Times New Roman" w:hAnsi="Times New Roman" w:cs="Times New Roman"/>
          <w:b/>
          <w:bCs/>
        </w:rPr>
        <w:t xml:space="preserve"> </w:t>
      </w:r>
      <w:proofErr w:type="spellStart"/>
      <w:r w:rsidRPr="00586C54">
        <w:rPr>
          <w:rFonts w:ascii="Times New Roman" w:hAnsi="Times New Roman" w:cs="Times New Roman"/>
          <w:b/>
          <w:bCs/>
        </w:rPr>
        <w:t>Facility</w:t>
      </w:r>
      <w:proofErr w:type="spellEnd"/>
      <w:r w:rsidRPr="00586C54">
        <w:rPr>
          <w:rFonts w:ascii="Times New Roman" w:hAnsi="Times New Roman" w:cs="Times New Roman"/>
          <w:b/>
          <w:bCs/>
        </w:rPr>
        <w:t>)</w:t>
      </w:r>
    </w:p>
    <w:p w14:paraId="54F7C847" w14:textId="77777777" w:rsidR="00670D87" w:rsidRPr="00586C54" w:rsidRDefault="00670D87" w:rsidP="00670D87">
      <w:pPr>
        <w:jc w:val="both"/>
        <w:rPr>
          <w:rFonts w:ascii="Times New Roman" w:hAnsi="Times New Roman" w:cs="Times New Roman"/>
          <w:b/>
          <w:bCs/>
        </w:rPr>
      </w:pPr>
    </w:p>
    <w:p w14:paraId="40CB24A8"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 xml:space="preserve">Hlavním cílem Národního plánu obnovy je podpora oživení a odolnosti tuzemské ekonomiky po zasažení pandemií COVID-19. Národní plán obnovy disponuje fondem s vlastními finančními prostředky od EU, které mají zmírnit dopady krize.  </w:t>
      </w:r>
    </w:p>
    <w:p w14:paraId="4C4A2B34"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 xml:space="preserve">Všechny země měly předložit svůj plán obnovy do 30. 4. 2021. Nástroj pro obnovu a odolnost zahrnuje oblast digitální ekonomiky a společnosti, inovativní </w:t>
      </w:r>
      <w:proofErr w:type="spellStart"/>
      <w:r w:rsidRPr="00586C54">
        <w:rPr>
          <w:rFonts w:ascii="Times New Roman" w:hAnsi="Times New Roman" w:cs="Times New Roman"/>
        </w:rPr>
        <w:t>startup</w:t>
      </w:r>
      <w:proofErr w:type="spellEnd"/>
      <w:r w:rsidRPr="00586C54">
        <w:rPr>
          <w:rFonts w:ascii="Times New Roman" w:hAnsi="Times New Roman" w:cs="Times New Roman"/>
        </w:rPr>
        <w:t xml:space="preserve"> a nové technologie, digitální transformaci podniků, snižování spotřeby energie, transformaci průmyslu a přechod na čistší zdroje energie, rozvoj čisté mobility, renovaci budov a ochranu ovzduší, rozvoj cirkulární ekonomik a recyklaci a průmyslovou vodu, modernizaci služeb zaměstnanosti a rozvoj trhu práce, podporu výzkumu a vývoje v podnicích a zavádění inovace do podnikové praxe a zvýšení odolnosti systému zdravotní péče.</w:t>
      </w:r>
    </w:p>
    <w:p w14:paraId="5468527D"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color w:val="000000"/>
        </w:rPr>
        <w:lastRenderedPageBreak/>
        <w:t>RRF je hlavní součásti strategie hospodářské obnovy EU po pandemii Covid-19. Jeho cílem je podpořit členské státy v provádění strukturálních reforem a veřejných investic. Ty mají posílit odolnost členských zemí EU, zmírnit dopady krize a přispět k obnově růstového potenciálu a tvorbě pracovních míst. K čerpání finančních prostředků z tohoto nástroje rozpočtovaného ve výši 672,5 mld. EUR musí členské státy předložit Evropské komisi Národní plán obnovy, na kterém nyní v České republice probíhají intenzivní práce.</w:t>
      </w:r>
    </w:p>
    <w:p w14:paraId="41317521" w14:textId="77777777" w:rsidR="00670D87" w:rsidRPr="00586C54" w:rsidRDefault="00670D87" w:rsidP="00670D87">
      <w:pPr>
        <w:jc w:val="both"/>
        <w:rPr>
          <w:rFonts w:ascii="Times New Roman" w:hAnsi="Times New Roman" w:cs="Times New Roman"/>
        </w:rPr>
      </w:pPr>
    </w:p>
    <w:p w14:paraId="21674629" w14:textId="77777777" w:rsidR="00670D87" w:rsidRPr="00586C54" w:rsidRDefault="00670D87" w:rsidP="00670D87">
      <w:pPr>
        <w:jc w:val="both"/>
        <w:rPr>
          <w:rFonts w:ascii="Times New Roman" w:hAnsi="Times New Roman" w:cs="Times New Roman"/>
          <w:b/>
          <w:bCs/>
        </w:rPr>
      </w:pPr>
      <w:r w:rsidRPr="00586C54">
        <w:rPr>
          <w:rFonts w:ascii="Times New Roman" w:hAnsi="Times New Roman" w:cs="Times New Roman"/>
          <w:b/>
          <w:bCs/>
        </w:rPr>
        <w:t>Sociální Summit v Portu</w:t>
      </w:r>
    </w:p>
    <w:p w14:paraId="11FB5E33" w14:textId="77777777" w:rsidR="00670D87" w:rsidRPr="00586C54" w:rsidRDefault="00670D87" w:rsidP="00670D87">
      <w:pPr>
        <w:jc w:val="both"/>
        <w:rPr>
          <w:rFonts w:ascii="Times New Roman" w:hAnsi="Times New Roman" w:cs="Times New Roman"/>
          <w:b/>
          <w:bCs/>
        </w:rPr>
      </w:pPr>
    </w:p>
    <w:p w14:paraId="7359930E"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 xml:space="preserve">7. až 8. 5. 2021 proběhne v portugalském Portu Summit, kde se sejdou vedoucí představitelé EU, zástupci evropských orgánů, sociálních partnerů a občanské společnosti. Hlavním tématem toho to jednání budou otázky spojené s pandemií COVID-19. Konkrétně se bude řešit výroba a distribuce očkovacích látek, digitální </w:t>
      </w:r>
      <w:proofErr w:type="spellStart"/>
      <w:r w:rsidRPr="00586C54">
        <w:rPr>
          <w:rFonts w:ascii="Times New Roman" w:hAnsi="Times New Roman" w:cs="Times New Roman"/>
        </w:rPr>
        <w:t>Covid</w:t>
      </w:r>
      <w:proofErr w:type="spellEnd"/>
      <w:r w:rsidRPr="00586C54">
        <w:rPr>
          <w:rFonts w:ascii="Times New Roman" w:hAnsi="Times New Roman" w:cs="Times New Roman"/>
        </w:rPr>
        <w:t xml:space="preserve"> certifikát, který by měl znovu umožnit bezpečné cestování, a mezinárodní solidarita.</w:t>
      </w:r>
    </w:p>
    <w:p w14:paraId="4E6B79B2" w14:textId="77777777" w:rsidR="00670D87" w:rsidRPr="00586C54" w:rsidRDefault="00670D87" w:rsidP="00670D87">
      <w:pPr>
        <w:jc w:val="both"/>
        <w:rPr>
          <w:rFonts w:ascii="Times New Roman" w:hAnsi="Times New Roman" w:cs="Times New Roman"/>
        </w:rPr>
      </w:pPr>
    </w:p>
    <w:p w14:paraId="0C287404" w14:textId="77777777" w:rsidR="00670D87" w:rsidRPr="00586C54" w:rsidRDefault="00670D87" w:rsidP="00670D87">
      <w:pPr>
        <w:jc w:val="both"/>
        <w:rPr>
          <w:rFonts w:ascii="Times New Roman" w:hAnsi="Times New Roman" w:cs="Times New Roman"/>
          <w:b/>
          <w:bCs/>
        </w:rPr>
      </w:pPr>
      <w:proofErr w:type="spellStart"/>
      <w:r w:rsidRPr="00586C54">
        <w:rPr>
          <w:rFonts w:ascii="Times New Roman" w:hAnsi="Times New Roman" w:cs="Times New Roman"/>
          <w:b/>
          <w:bCs/>
        </w:rPr>
        <w:t>Brexit</w:t>
      </w:r>
      <w:proofErr w:type="spellEnd"/>
    </w:p>
    <w:p w14:paraId="06F76279" w14:textId="77777777" w:rsidR="00670D87" w:rsidRPr="00586C54" w:rsidRDefault="00670D87" w:rsidP="00670D87">
      <w:pPr>
        <w:jc w:val="both"/>
        <w:rPr>
          <w:rFonts w:ascii="Times New Roman" w:hAnsi="Times New Roman" w:cs="Times New Roman"/>
        </w:rPr>
      </w:pPr>
    </w:p>
    <w:p w14:paraId="5B896517"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 xml:space="preserve">Jedním z bodu jednání </w:t>
      </w:r>
      <w:r w:rsidRPr="00586C54">
        <w:rPr>
          <w:rFonts w:ascii="Times New Roman" w:hAnsi="Times New Roman" w:cs="Times New Roman"/>
          <w:bCs/>
        </w:rPr>
        <w:t xml:space="preserve">výkonného výboru </w:t>
      </w:r>
      <w:proofErr w:type="spellStart"/>
      <w:r w:rsidRPr="00586C54">
        <w:rPr>
          <w:rFonts w:ascii="Times New Roman" w:hAnsi="Times New Roman" w:cs="Times New Roman"/>
          <w:bCs/>
        </w:rPr>
        <w:t>industriAll</w:t>
      </w:r>
      <w:proofErr w:type="spellEnd"/>
      <w:r w:rsidRPr="00586C54">
        <w:rPr>
          <w:rFonts w:ascii="Times New Roman" w:hAnsi="Times New Roman" w:cs="Times New Roman"/>
          <w:bCs/>
        </w:rPr>
        <w:t xml:space="preserve"> </w:t>
      </w:r>
      <w:r w:rsidRPr="00586C54">
        <w:rPr>
          <w:rFonts w:ascii="Times New Roman" w:hAnsi="Times New Roman" w:cs="Times New Roman"/>
        </w:rPr>
        <w:t xml:space="preserve">byl </w:t>
      </w:r>
      <w:proofErr w:type="spellStart"/>
      <w:r w:rsidRPr="00586C54">
        <w:rPr>
          <w:rFonts w:ascii="Times New Roman" w:hAnsi="Times New Roman" w:cs="Times New Roman"/>
        </w:rPr>
        <w:t>Brexit</w:t>
      </w:r>
      <w:proofErr w:type="spellEnd"/>
      <w:r w:rsidRPr="00586C54">
        <w:rPr>
          <w:rFonts w:ascii="Times New Roman" w:hAnsi="Times New Roman" w:cs="Times New Roman"/>
        </w:rPr>
        <w:t xml:space="preserve"> a dohoda o obchodu a spolupráci s názvem Evropská odborová jednota po </w:t>
      </w:r>
      <w:proofErr w:type="spellStart"/>
      <w:r w:rsidRPr="00586C54">
        <w:rPr>
          <w:rFonts w:ascii="Times New Roman" w:hAnsi="Times New Roman" w:cs="Times New Roman"/>
        </w:rPr>
        <w:t>Brexitu</w:t>
      </w:r>
      <w:proofErr w:type="spellEnd"/>
      <w:r w:rsidRPr="00586C54">
        <w:rPr>
          <w:rFonts w:ascii="Times New Roman" w:hAnsi="Times New Roman" w:cs="Times New Roman"/>
        </w:rPr>
        <w:t>. Dohoda mezi EU a Spojeným královstvím byla podepsána 30. prosince 2020, Spojené království nakonec opustilo Evropskou unii na konci přechodného období 31. prosince 2020 s dohodou. Přechodné období skončilo a dohoda o obchodu a spolupráci mezi EU a Spojeným královstvím se (</w:t>
      </w:r>
      <w:proofErr w:type="spellStart"/>
      <w:r w:rsidRPr="00586C54">
        <w:rPr>
          <w:rFonts w:ascii="Times New Roman" w:hAnsi="Times New Roman" w:cs="Times New Roman"/>
        </w:rPr>
        <w:t>prozatimně</w:t>
      </w:r>
      <w:proofErr w:type="spellEnd"/>
      <w:r w:rsidRPr="00586C54">
        <w:rPr>
          <w:rFonts w:ascii="Times New Roman" w:hAnsi="Times New Roman" w:cs="Times New Roman"/>
        </w:rPr>
        <w:t>) uplatňuje. Existuje ale mnoho nevyřešených otázek, které budou vyžadovat další jednání a dohodu. I když by výsledek bez dohody byl katastrofální, existuje řada obav z jednání Spojeného království vůči zemím EU. Je zřejmé, že vláda připravuje útok na zaměstnanecká a odborová práva, zejména na zaměstnanecká práva získaná členstvím Spojeného království v Evropské unii.</w:t>
      </w:r>
    </w:p>
    <w:p w14:paraId="40F818D8" w14:textId="77777777" w:rsidR="00670D87" w:rsidRPr="00586C54" w:rsidRDefault="00670D87" w:rsidP="00670D87">
      <w:pPr>
        <w:jc w:val="both"/>
        <w:rPr>
          <w:rFonts w:ascii="Times New Roman" w:hAnsi="Times New Roman" w:cs="Times New Roman"/>
        </w:rPr>
      </w:pPr>
    </w:p>
    <w:p w14:paraId="08DDE91E"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Jakékoli omezení těchto práv bude nejen extrémně škodlivé pro pracovníky ve Velké Británii, ale bude také enormní hrozbou pro pracovníky v celé Evropě. Musíme být připraveni na budoucí pokusy o oslabení nebo snížení zaměstnaneckých a odborových práv ve Velké Británii.</w:t>
      </w:r>
    </w:p>
    <w:p w14:paraId="4444E4C9" w14:textId="77777777" w:rsidR="00670D87" w:rsidRPr="00586C54" w:rsidRDefault="00670D87" w:rsidP="00670D87">
      <w:pPr>
        <w:jc w:val="both"/>
        <w:rPr>
          <w:rFonts w:ascii="Times New Roman" w:hAnsi="Times New Roman" w:cs="Times New Roman"/>
        </w:rPr>
      </w:pPr>
    </w:p>
    <w:p w14:paraId="2209D866"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 xml:space="preserve">Navzdory závazku EU a Spojeného království zachovat „rovné podmínky“ jsou postupy k prosazování této dohody extrémně. Je pravděpodobné, </w:t>
      </w:r>
      <w:proofErr w:type="gramStart"/>
      <w:r w:rsidRPr="00586C54">
        <w:rPr>
          <w:rFonts w:ascii="Times New Roman" w:hAnsi="Times New Roman" w:cs="Times New Roman"/>
        </w:rPr>
        <w:t>že  zájmy</w:t>
      </w:r>
      <w:proofErr w:type="gramEnd"/>
      <w:r w:rsidRPr="00586C54">
        <w:rPr>
          <w:rFonts w:ascii="Times New Roman" w:hAnsi="Times New Roman" w:cs="Times New Roman"/>
        </w:rPr>
        <w:t xml:space="preserve"> zaměstnanců Velké Británie i našich států nebude jednoduché navzdory dohodě vymáhat právním postihem, budeme muset zapojit koordinaci a jednání odborů.</w:t>
      </w:r>
    </w:p>
    <w:p w14:paraId="6EBF91AD" w14:textId="77777777" w:rsidR="00670D87" w:rsidRPr="00586C54" w:rsidRDefault="00670D87" w:rsidP="00670D87">
      <w:pPr>
        <w:rPr>
          <w:rFonts w:ascii="Times New Roman" w:hAnsi="Times New Roman" w:cs="Times New Roman"/>
          <w:b/>
          <w:bCs/>
        </w:rPr>
      </w:pPr>
    </w:p>
    <w:p w14:paraId="464484C5" w14:textId="77777777" w:rsidR="00670D87" w:rsidRPr="00586C54" w:rsidRDefault="00670D87" w:rsidP="00670D87">
      <w:pPr>
        <w:rPr>
          <w:rFonts w:ascii="Times New Roman" w:hAnsi="Times New Roman" w:cs="Times New Roman"/>
          <w:b/>
          <w:bCs/>
        </w:rPr>
      </w:pPr>
      <w:r w:rsidRPr="00586C54">
        <w:rPr>
          <w:rFonts w:ascii="Times New Roman" w:hAnsi="Times New Roman" w:cs="Times New Roman"/>
          <w:b/>
          <w:bCs/>
        </w:rPr>
        <w:t>Dohoda o investicích mezi EU a Čínou CAI</w:t>
      </w:r>
    </w:p>
    <w:p w14:paraId="4DA65B33" w14:textId="77777777" w:rsidR="00670D87" w:rsidRPr="00586C54" w:rsidRDefault="00670D87" w:rsidP="00670D87">
      <w:pPr>
        <w:rPr>
          <w:rFonts w:ascii="Times New Roman" w:hAnsi="Times New Roman" w:cs="Times New Roman"/>
          <w:b/>
          <w:bCs/>
        </w:rPr>
      </w:pPr>
    </w:p>
    <w:p w14:paraId="02058102"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Úlohou Komplexní investiční dohody „CAI“ je vylepšit a rozšířit přístup evropských investorů na čínský trh. Jde zejména o stanovení závazků v odstraňování diskriminace a překážek pro zahraniční investory. Dohoda má také zvýšit předvídatelnost prostředí a zajistit investorům z EU alespoň stejný standard zacházení, jako mají zahraniční investoři z jiných oblastí (např. USA, nebo členové Regionálního ekonomického partnerství RCEP).</w:t>
      </w:r>
    </w:p>
    <w:p w14:paraId="2832D629" w14:textId="77777777" w:rsidR="00670D87" w:rsidRPr="00586C54" w:rsidRDefault="00670D87" w:rsidP="00670D87">
      <w:pPr>
        <w:jc w:val="both"/>
        <w:rPr>
          <w:rFonts w:ascii="Times New Roman" w:hAnsi="Times New Roman" w:cs="Times New Roman"/>
        </w:rPr>
      </w:pPr>
    </w:p>
    <w:p w14:paraId="414EB1B9"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 xml:space="preserve">Cílem EU je nastavit vyvážený vztah přínosný pro obě strany. Pro zlepšení postavení evropských firem v Číně je zejména nutné narovnat podmínky v oblastech, jako jsou státní podpory, vynucené převody technologií, či klimatické a sociální standardy. Evropské investice v Číně tvoří převážně tyto oblasti v následujícím pořadí: automobilový průmysl (28 %), suroviny a chemikálie (22 %), finanční služby (8 %), zemědělství a potravinářství, spotřební zboží, energetika, stroje, zdravotnictví a biotechnologie.  Tomuto složení také odpovídá </w:t>
      </w:r>
      <w:r w:rsidRPr="00586C54">
        <w:rPr>
          <w:rFonts w:ascii="Times New Roman" w:hAnsi="Times New Roman" w:cs="Times New Roman"/>
        </w:rPr>
        <w:lastRenderedPageBreak/>
        <w:t>zacílení dohody. Ačkoliv je politický dohoda velkým vítězstvím, důležitá bude hlavně praktická implementace.</w:t>
      </w:r>
    </w:p>
    <w:p w14:paraId="0304D3FD" w14:textId="77777777" w:rsidR="00670D87" w:rsidRPr="00586C54" w:rsidRDefault="00670D87" w:rsidP="00670D87">
      <w:pPr>
        <w:jc w:val="both"/>
        <w:rPr>
          <w:rFonts w:ascii="Times New Roman" w:hAnsi="Times New Roman" w:cs="Times New Roman"/>
        </w:rPr>
      </w:pPr>
    </w:p>
    <w:p w14:paraId="6B4532DA" w14:textId="77777777" w:rsidR="00670D87" w:rsidRPr="00586C54" w:rsidRDefault="00670D87" w:rsidP="00670D87">
      <w:pPr>
        <w:jc w:val="both"/>
        <w:rPr>
          <w:rFonts w:ascii="Times New Roman" w:hAnsi="Times New Roman" w:cs="Times New Roman"/>
          <w:b/>
          <w:bCs/>
        </w:rPr>
      </w:pPr>
      <w:r w:rsidRPr="00586C54">
        <w:rPr>
          <w:rFonts w:ascii="Times New Roman" w:hAnsi="Times New Roman" w:cs="Times New Roman"/>
          <w:b/>
          <w:bCs/>
        </w:rPr>
        <w:t>Práce na dálku „</w:t>
      </w:r>
      <w:proofErr w:type="spellStart"/>
      <w:r w:rsidRPr="00586C54">
        <w:rPr>
          <w:rFonts w:ascii="Times New Roman" w:hAnsi="Times New Roman" w:cs="Times New Roman"/>
          <w:b/>
          <w:bCs/>
        </w:rPr>
        <w:t>Telework</w:t>
      </w:r>
      <w:proofErr w:type="spellEnd"/>
      <w:r w:rsidRPr="00586C54">
        <w:rPr>
          <w:rFonts w:ascii="Times New Roman" w:hAnsi="Times New Roman" w:cs="Times New Roman"/>
          <w:b/>
          <w:bCs/>
        </w:rPr>
        <w:t>“</w:t>
      </w:r>
    </w:p>
    <w:p w14:paraId="58BCB9E6" w14:textId="77777777" w:rsidR="00670D87" w:rsidRPr="00586C54" w:rsidRDefault="00670D87" w:rsidP="00670D87">
      <w:pPr>
        <w:jc w:val="both"/>
        <w:rPr>
          <w:rFonts w:ascii="Times New Roman" w:hAnsi="Times New Roman" w:cs="Times New Roman"/>
          <w:b/>
          <w:bCs/>
        </w:rPr>
      </w:pPr>
    </w:p>
    <w:p w14:paraId="5B34A244"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 xml:space="preserve">Název </w:t>
      </w:r>
      <w:proofErr w:type="gramStart"/>
      <w:r w:rsidRPr="00586C54">
        <w:rPr>
          <w:rFonts w:ascii="Times New Roman" w:hAnsi="Times New Roman" w:cs="Times New Roman"/>
        </w:rPr>
        <w:t>diskuze</w:t>
      </w:r>
      <w:proofErr w:type="gramEnd"/>
      <w:r w:rsidRPr="00586C54">
        <w:rPr>
          <w:rFonts w:ascii="Times New Roman" w:hAnsi="Times New Roman" w:cs="Times New Roman"/>
        </w:rPr>
        <w:t xml:space="preserve"> </w:t>
      </w:r>
      <w:proofErr w:type="spellStart"/>
      <w:r w:rsidRPr="00586C54">
        <w:rPr>
          <w:rFonts w:ascii="Times New Roman" w:hAnsi="Times New Roman" w:cs="Times New Roman"/>
        </w:rPr>
        <w:t>Telework</w:t>
      </w:r>
      <w:proofErr w:type="spellEnd"/>
      <w:r w:rsidRPr="00586C54">
        <w:rPr>
          <w:rFonts w:ascii="Times New Roman" w:hAnsi="Times New Roman" w:cs="Times New Roman"/>
        </w:rPr>
        <w:t xml:space="preserve"> je název pro práci na dálku, v rámci této diskuze se jednalo o naléhavost regulovat práci na dálku, aby měla určité právní limity. Je důležité zmínit, že v možnostech práce na dálku jsou velké rozdíly mezi jednotlivými pracovními pozicemi, ale také mezi jednotlivými státy. Práce na dálku vyžaduje v první řade zajištění stejné úrovně bezpečnosti a ochrany zdraví při práci jako u práce v kanceláři, ale také stejné pracovní vybavení. V neposlední řadě je důležité školení pro práci na dálku, protože ne každý je natolik technicky vzdělaný, aby práci na dálku zvládl.</w:t>
      </w:r>
    </w:p>
    <w:p w14:paraId="0D41F242" w14:textId="77777777" w:rsidR="00670D87" w:rsidRPr="00586C54" w:rsidRDefault="00670D87" w:rsidP="00670D87">
      <w:pPr>
        <w:jc w:val="both"/>
        <w:rPr>
          <w:rFonts w:ascii="Times New Roman" w:hAnsi="Times New Roman" w:cs="Times New Roman"/>
        </w:rPr>
      </w:pPr>
    </w:p>
    <w:p w14:paraId="35F78281" w14:textId="77777777" w:rsidR="00670D87" w:rsidRPr="00586C54" w:rsidRDefault="00670D87" w:rsidP="00670D87">
      <w:pPr>
        <w:jc w:val="both"/>
        <w:rPr>
          <w:rFonts w:ascii="Times New Roman" w:hAnsi="Times New Roman" w:cs="Times New Roman"/>
          <w:b/>
          <w:bCs/>
        </w:rPr>
      </w:pPr>
      <w:r w:rsidRPr="00586C54">
        <w:rPr>
          <w:rFonts w:ascii="Times New Roman" w:hAnsi="Times New Roman" w:cs="Times New Roman"/>
          <w:b/>
          <w:bCs/>
        </w:rPr>
        <w:t>Dopad Covid-19 na digitalizaci</w:t>
      </w:r>
    </w:p>
    <w:p w14:paraId="73564F00" w14:textId="77777777" w:rsidR="00670D87" w:rsidRPr="00586C54" w:rsidRDefault="00670D87" w:rsidP="00670D87">
      <w:pPr>
        <w:jc w:val="both"/>
        <w:rPr>
          <w:rFonts w:ascii="Times New Roman" w:hAnsi="Times New Roman" w:cs="Times New Roman"/>
          <w:b/>
          <w:bCs/>
        </w:rPr>
      </w:pPr>
    </w:p>
    <w:p w14:paraId="51219F6C" w14:textId="77777777" w:rsidR="00670D87" w:rsidRDefault="00670D87" w:rsidP="00670D87">
      <w:pPr>
        <w:jc w:val="both"/>
        <w:rPr>
          <w:rFonts w:ascii="Times New Roman" w:hAnsi="Times New Roman" w:cs="Times New Roman"/>
        </w:rPr>
      </w:pPr>
      <w:r w:rsidRPr="00586C54">
        <w:rPr>
          <w:rFonts w:ascii="Times New Roman" w:hAnsi="Times New Roman" w:cs="Times New Roman"/>
        </w:rPr>
        <w:t>Doba Covidu-19 samozřejmě urychlila digitalizaci, a to hlavně v zemích západní Evropy, je třeba ale zdůraznit, že ne všechny společnosti mají na digitalizaci dostatečné finanční prostředky a jak bylo zmíněno výše, ne všichni zaměstnanci jsou pro tuto digitalizaci řádně proškolení.</w:t>
      </w:r>
    </w:p>
    <w:p w14:paraId="11EDC5C8" w14:textId="77777777" w:rsidR="00670D87" w:rsidRPr="00586C54" w:rsidRDefault="00670D87" w:rsidP="00670D87">
      <w:pPr>
        <w:jc w:val="both"/>
        <w:rPr>
          <w:rFonts w:ascii="Times New Roman" w:hAnsi="Times New Roman" w:cs="Times New Roman"/>
        </w:rPr>
      </w:pPr>
    </w:p>
    <w:p w14:paraId="69C9516F" w14:textId="77777777" w:rsidR="00670D87" w:rsidRPr="00586C54" w:rsidRDefault="00670D87" w:rsidP="00670D87">
      <w:pPr>
        <w:jc w:val="both"/>
        <w:rPr>
          <w:rFonts w:ascii="Times New Roman" w:hAnsi="Times New Roman" w:cs="Times New Roman"/>
          <w:b/>
          <w:bCs/>
        </w:rPr>
      </w:pPr>
      <w:r w:rsidRPr="00586C54">
        <w:rPr>
          <w:rFonts w:ascii="Times New Roman" w:hAnsi="Times New Roman" w:cs="Times New Roman"/>
          <w:b/>
          <w:bCs/>
        </w:rPr>
        <w:t>Zelená dohoda pro Evropu</w:t>
      </w:r>
    </w:p>
    <w:p w14:paraId="6B460FF9" w14:textId="77777777" w:rsidR="00670D87" w:rsidRPr="00586C54" w:rsidRDefault="00670D87" w:rsidP="00670D87">
      <w:pPr>
        <w:jc w:val="both"/>
        <w:rPr>
          <w:rFonts w:ascii="Times New Roman" w:hAnsi="Times New Roman" w:cs="Times New Roman"/>
        </w:rPr>
      </w:pPr>
    </w:p>
    <w:p w14:paraId="79DFBEF0"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 xml:space="preserve">New Green </w:t>
      </w:r>
      <w:proofErr w:type="spellStart"/>
      <w:r w:rsidRPr="00586C54">
        <w:rPr>
          <w:rFonts w:ascii="Times New Roman" w:hAnsi="Times New Roman" w:cs="Times New Roman"/>
        </w:rPr>
        <w:t>Deal</w:t>
      </w:r>
      <w:proofErr w:type="spellEnd"/>
      <w:r w:rsidRPr="00586C54">
        <w:rPr>
          <w:rFonts w:ascii="Times New Roman" w:hAnsi="Times New Roman" w:cs="Times New Roman"/>
        </w:rPr>
        <w:t xml:space="preserve"> je oficiální název Zelené dohody pro Evropu, která má za cíl dosáhnout udržitelného hospodářství EU. Zelená dohoda pro Evropu je plán obsahující opatření, která mají:</w:t>
      </w:r>
    </w:p>
    <w:p w14:paraId="17ACE437" w14:textId="77777777" w:rsidR="00670D87" w:rsidRPr="00586C54" w:rsidRDefault="00670D87" w:rsidP="00670D87">
      <w:pPr>
        <w:numPr>
          <w:ilvl w:val="0"/>
          <w:numId w:val="4"/>
        </w:numPr>
        <w:jc w:val="both"/>
        <w:rPr>
          <w:rFonts w:ascii="Times New Roman" w:hAnsi="Times New Roman" w:cs="Times New Roman"/>
        </w:rPr>
      </w:pPr>
      <w:r w:rsidRPr="00586C54">
        <w:rPr>
          <w:rFonts w:ascii="Times New Roman" w:hAnsi="Times New Roman" w:cs="Times New Roman"/>
        </w:rPr>
        <w:t>podpořit účinné využívání zdrojů prostřednictvím přechodu na čisté oběhové hospodářství,</w:t>
      </w:r>
    </w:p>
    <w:p w14:paraId="5EBBE287" w14:textId="77777777" w:rsidR="00670D87" w:rsidRPr="00586C54" w:rsidRDefault="00670D87" w:rsidP="00670D87">
      <w:pPr>
        <w:numPr>
          <w:ilvl w:val="0"/>
          <w:numId w:val="4"/>
        </w:numPr>
        <w:jc w:val="both"/>
        <w:rPr>
          <w:rFonts w:ascii="Times New Roman" w:hAnsi="Times New Roman" w:cs="Times New Roman"/>
        </w:rPr>
      </w:pPr>
      <w:r w:rsidRPr="00586C54">
        <w:rPr>
          <w:rFonts w:ascii="Times New Roman" w:hAnsi="Times New Roman" w:cs="Times New Roman"/>
        </w:rPr>
        <w:t>zabránit ztrátě biologické rozmanitosti a snížit znečištění.</w:t>
      </w:r>
    </w:p>
    <w:p w14:paraId="68EE38FF" w14:textId="77777777" w:rsidR="00670D87" w:rsidRPr="00586C54" w:rsidRDefault="00670D87" w:rsidP="00670D87">
      <w:pPr>
        <w:ind w:left="720"/>
        <w:jc w:val="both"/>
        <w:rPr>
          <w:rFonts w:ascii="Times New Roman" w:hAnsi="Times New Roman" w:cs="Times New Roman"/>
        </w:rPr>
      </w:pPr>
    </w:p>
    <w:p w14:paraId="160D7451"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 xml:space="preserve">V tomto plánu jsou uvedeny potřebné investice a dostupné finanční nástroje. Rovněž je v něm vysvětleno, jak zajistit spravedlivou </w:t>
      </w:r>
      <w:proofErr w:type="gramStart"/>
      <w:r w:rsidRPr="00586C54">
        <w:rPr>
          <w:rFonts w:ascii="Times New Roman" w:hAnsi="Times New Roman" w:cs="Times New Roman"/>
        </w:rPr>
        <w:t>transformaci</w:t>
      </w:r>
      <w:proofErr w:type="gramEnd"/>
      <w:r w:rsidRPr="00586C54">
        <w:rPr>
          <w:rFonts w:ascii="Times New Roman" w:hAnsi="Times New Roman" w:cs="Times New Roman"/>
        </w:rPr>
        <w:t xml:space="preserve"> tak, aby ji zvládly i státy finančně slabší.</w:t>
      </w:r>
    </w:p>
    <w:p w14:paraId="1D340D90"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EU chce do roku 2030 snížit emise skleníkových plynů oproti roku 1990 alespoň o 55 %, dalším cílem je stát se do roku 2050 klimaticky neutrálním kontinentem. Za tímto účelem Komise předložila návrh evropského právního rámce pro klima, čímž má tento politický závazek získat právní závaznost.</w:t>
      </w:r>
    </w:p>
    <w:p w14:paraId="70F90163"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K dosažení tohoto cíle bude nutné přijmout náležitá opatření ve všech odvětvích našeho hospodářství:</w:t>
      </w:r>
    </w:p>
    <w:p w14:paraId="1BB71606" w14:textId="77777777" w:rsidR="00670D87" w:rsidRPr="00586C54" w:rsidRDefault="00670D87" w:rsidP="00670D87">
      <w:pPr>
        <w:numPr>
          <w:ilvl w:val="0"/>
          <w:numId w:val="5"/>
        </w:numPr>
        <w:jc w:val="both"/>
        <w:rPr>
          <w:rFonts w:ascii="Times New Roman" w:hAnsi="Times New Roman" w:cs="Times New Roman"/>
        </w:rPr>
      </w:pPr>
      <w:r w:rsidRPr="00586C54">
        <w:rPr>
          <w:rFonts w:ascii="Times New Roman" w:hAnsi="Times New Roman" w:cs="Times New Roman"/>
        </w:rPr>
        <w:t>investovat do technologií šetrných k životnímu prostředí,</w:t>
      </w:r>
    </w:p>
    <w:p w14:paraId="59D49CC0" w14:textId="77777777" w:rsidR="00670D87" w:rsidRPr="00586C54" w:rsidRDefault="00670D87" w:rsidP="00670D87">
      <w:pPr>
        <w:numPr>
          <w:ilvl w:val="0"/>
          <w:numId w:val="5"/>
        </w:numPr>
        <w:jc w:val="both"/>
        <w:rPr>
          <w:rFonts w:ascii="Times New Roman" w:hAnsi="Times New Roman" w:cs="Times New Roman"/>
        </w:rPr>
      </w:pPr>
      <w:r w:rsidRPr="00586C54">
        <w:rPr>
          <w:rFonts w:ascii="Times New Roman" w:hAnsi="Times New Roman" w:cs="Times New Roman"/>
        </w:rPr>
        <w:t>podporovat průmysl ve vývoji inovací,</w:t>
      </w:r>
    </w:p>
    <w:p w14:paraId="4C8E50E9" w14:textId="77777777" w:rsidR="00670D87" w:rsidRPr="00586C54" w:rsidRDefault="00670D87" w:rsidP="00670D87">
      <w:pPr>
        <w:numPr>
          <w:ilvl w:val="0"/>
          <w:numId w:val="5"/>
        </w:numPr>
        <w:jc w:val="both"/>
        <w:rPr>
          <w:rFonts w:ascii="Times New Roman" w:hAnsi="Times New Roman" w:cs="Times New Roman"/>
        </w:rPr>
      </w:pPr>
      <w:r w:rsidRPr="00586C54">
        <w:rPr>
          <w:rFonts w:ascii="Times New Roman" w:hAnsi="Times New Roman" w:cs="Times New Roman"/>
        </w:rPr>
        <w:t>zavádět čistší, levnější a zdravější formy soukromé a veřejné dopravy,</w:t>
      </w:r>
    </w:p>
    <w:p w14:paraId="0AC2C859" w14:textId="77777777" w:rsidR="00670D87" w:rsidRPr="00586C54" w:rsidRDefault="00670D87" w:rsidP="00670D87">
      <w:pPr>
        <w:numPr>
          <w:ilvl w:val="0"/>
          <w:numId w:val="5"/>
        </w:numPr>
        <w:jc w:val="both"/>
        <w:rPr>
          <w:rFonts w:ascii="Times New Roman" w:hAnsi="Times New Roman" w:cs="Times New Roman"/>
        </w:rPr>
      </w:pPr>
      <w:r w:rsidRPr="00586C54">
        <w:rPr>
          <w:rFonts w:ascii="Times New Roman" w:hAnsi="Times New Roman" w:cs="Times New Roman"/>
        </w:rPr>
        <w:t>dekarbonizovat odvětví energetiky,</w:t>
      </w:r>
    </w:p>
    <w:p w14:paraId="6D8CBFAB" w14:textId="77777777" w:rsidR="00670D87" w:rsidRPr="00586C54" w:rsidRDefault="00670D87" w:rsidP="00670D87">
      <w:pPr>
        <w:numPr>
          <w:ilvl w:val="0"/>
          <w:numId w:val="5"/>
        </w:numPr>
        <w:jc w:val="both"/>
        <w:rPr>
          <w:rFonts w:ascii="Times New Roman" w:hAnsi="Times New Roman" w:cs="Times New Roman"/>
        </w:rPr>
      </w:pPr>
      <w:r w:rsidRPr="00586C54">
        <w:rPr>
          <w:rFonts w:ascii="Times New Roman" w:hAnsi="Times New Roman" w:cs="Times New Roman"/>
        </w:rPr>
        <w:t>zajistit vyšší energetickou účinnost budov,</w:t>
      </w:r>
    </w:p>
    <w:p w14:paraId="4BA1EBF2" w14:textId="77777777" w:rsidR="00670D87" w:rsidRPr="00586C54" w:rsidRDefault="00670D87" w:rsidP="00670D87">
      <w:pPr>
        <w:numPr>
          <w:ilvl w:val="0"/>
          <w:numId w:val="5"/>
        </w:numPr>
        <w:jc w:val="both"/>
        <w:rPr>
          <w:rFonts w:ascii="Times New Roman" w:hAnsi="Times New Roman" w:cs="Times New Roman"/>
        </w:rPr>
      </w:pPr>
      <w:r w:rsidRPr="00586C54">
        <w:rPr>
          <w:rFonts w:ascii="Times New Roman" w:hAnsi="Times New Roman" w:cs="Times New Roman"/>
        </w:rPr>
        <w:t>spolupracovat s mezinárodními partnery na zlepšení celosvětových norem v oblasti životního prostředí.</w:t>
      </w:r>
    </w:p>
    <w:p w14:paraId="1DE58140" w14:textId="77777777" w:rsidR="00670D87" w:rsidRPr="00586C54" w:rsidRDefault="00670D87" w:rsidP="00670D87">
      <w:pPr>
        <w:ind w:left="720"/>
        <w:jc w:val="both"/>
        <w:rPr>
          <w:rFonts w:ascii="Times New Roman" w:hAnsi="Times New Roman" w:cs="Times New Roman"/>
        </w:rPr>
      </w:pPr>
    </w:p>
    <w:p w14:paraId="089C4207"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EU bude rovněž poskytovat finanční podporu a technickou pomoc těm, které přechod na zelenou ekonomiku nejvíce zasáhne. Jde o tzv. mechanismus pro spravedlivou transformaci. Ten má v období 2021–2027 přispět k mobilizaci nejméně 100 miliard EUR v nejvíce postižených regionech.</w:t>
      </w:r>
    </w:p>
    <w:p w14:paraId="6D9DCED9" w14:textId="77777777" w:rsidR="00670D87" w:rsidRPr="00586C54" w:rsidRDefault="00670D87" w:rsidP="00670D87">
      <w:pPr>
        <w:jc w:val="both"/>
        <w:rPr>
          <w:rFonts w:ascii="Times New Roman" w:hAnsi="Times New Roman" w:cs="Times New Roman"/>
        </w:rPr>
      </w:pPr>
    </w:p>
    <w:p w14:paraId="5A153F89"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lastRenderedPageBreak/>
        <w:t>Je důležité, aby transformace proběhla spravedlivě a aby došlo k podpoře ekonomicky slabších zemí. Podrobné informace naleznete v příloze č. 1 tohoto dokumentu.</w:t>
      </w:r>
    </w:p>
    <w:p w14:paraId="7C334967" w14:textId="77777777" w:rsidR="00670D87" w:rsidRPr="00586C54" w:rsidRDefault="00670D87" w:rsidP="00670D87">
      <w:pPr>
        <w:jc w:val="both"/>
        <w:rPr>
          <w:rFonts w:ascii="Times New Roman" w:hAnsi="Times New Roman" w:cs="Times New Roman"/>
        </w:rPr>
      </w:pPr>
    </w:p>
    <w:p w14:paraId="5693DE11" w14:textId="77777777" w:rsidR="00670D87" w:rsidRPr="00586C54" w:rsidRDefault="00670D87" w:rsidP="00670D87">
      <w:pPr>
        <w:jc w:val="both"/>
        <w:rPr>
          <w:rFonts w:ascii="Times New Roman" w:hAnsi="Times New Roman" w:cs="Times New Roman"/>
          <w:b/>
          <w:bCs/>
        </w:rPr>
      </w:pPr>
      <w:r w:rsidRPr="00586C54">
        <w:rPr>
          <w:rFonts w:ascii="Times New Roman" w:hAnsi="Times New Roman" w:cs="Times New Roman"/>
          <w:b/>
          <w:bCs/>
        </w:rPr>
        <w:t>Kolektivní vyjednávání a sociální politika</w:t>
      </w:r>
    </w:p>
    <w:p w14:paraId="01BB1084" w14:textId="77777777" w:rsidR="00670D87" w:rsidRPr="00586C54" w:rsidRDefault="00670D87" w:rsidP="00670D87">
      <w:pPr>
        <w:jc w:val="both"/>
        <w:rPr>
          <w:rFonts w:ascii="Times New Roman" w:hAnsi="Times New Roman" w:cs="Times New Roman"/>
          <w:b/>
          <w:bCs/>
        </w:rPr>
      </w:pPr>
    </w:p>
    <w:p w14:paraId="00753F5F"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Doba Covidu-19 znamenala velké ohrožení kolektivního vyjednávání. Zaměstnavatelé využívali různá opatření k omezení práv zaměstnanců. Je třeba aktivního zapojení odborů pro prosazení uzavírání kolektivních smluv.</w:t>
      </w:r>
    </w:p>
    <w:p w14:paraId="2D0CC175"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Evropská komise se aktivně věnuje zjišťování, zda současná pravidla hospodářské soutěže nebrání kolektivnímu vyjednávání osobám samostatně výdělečně činným. Tyto osoby se mohou dostat do situace, kdy mají velmi omezené vyjednávací možnosti vůči firmám nebo subjektům, kterým poskytují své služby, což může vést k horším pracovním podmínkám a odměnám za práci. Podle současných pravidel hospodářské soutěže jsou osoby samostatně výdělečně činné považovány za podniky a v případě kolektivního vyjednávání by riskovaly porušení těchto pravidel. </w:t>
      </w:r>
    </w:p>
    <w:p w14:paraId="5D667AD7" w14:textId="77777777" w:rsidR="00670D87" w:rsidRPr="00586C54" w:rsidRDefault="00670D87" w:rsidP="00670D87">
      <w:pPr>
        <w:jc w:val="both"/>
        <w:rPr>
          <w:rFonts w:ascii="Times New Roman" w:hAnsi="Times New Roman" w:cs="Times New Roman"/>
        </w:rPr>
      </w:pPr>
    </w:p>
    <w:p w14:paraId="3F8372E5" w14:textId="77777777" w:rsidR="00670D87" w:rsidRDefault="00670D87" w:rsidP="00670D87">
      <w:pPr>
        <w:jc w:val="both"/>
        <w:rPr>
          <w:rFonts w:ascii="Times New Roman" w:hAnsi="Times New Roman" w:cs="Times New Roman"/>
          <w:b/>
          <w:bCs/>
        </w:rPr>
      </w:pPr>
    </w:p>
    <w:p w14:paraId="30DB82D3" w14:textId="77777777" w:rsidR="00670D87" w:rsidRPr="00586C54" w:rsidRDefault="00670D87" w:rsidP="00670D87">
      <w:pPr>
        <w:jc w:val="both"/>
        <w:rPr>
          <w:rFonts w:ascii="Times New Roman" w:hAnsi="Times New Roman" w:cs="Times New Roman"/>
          <w:b/>
          <w:bCs/>
        </w:rPr>
      </w:pPr>
      <w:r w:rsidRPr="00586C54">
        <w:rPr>
          <w:rFonts w:ascii="Times New Roman" w:hAnsi="Times New Roman" w:cs="Times New Roman"/>
          <w:b/>
          <w:bCs/>
        </w:rPr>
        <w:t>Závěr</w:t>
      </w:r>
    </w:p>
    <w:p w14:paraId="7036A500" w14:textId="77777777" w:rsidR="00670D87" w:rsidRPr="00586C54" w:rsidRDefault="00670D87" w:rsidP="00670D87">
      <w:pPr>
        <w:jc w:val="both"/>
        <w:rPr>
          <w:rFonts w:ascii="Times New Roman" w:hAnsi="Times New Roman" w:cs="Times New Roman"/>
          <w:b/>
          <w:bCs/>
        </w:rPr>
      </w:pPr>
    </w:p>
    <w:p w14:paraId="7B64F4B8" w14:textId="77777777" w:rsidR="00670D87" w:rsidRDefault="00670D87" w:rsidP="00670D87">
      <w:pPr>
        <w:jc w:val="both"/>
        <w:rPr>
          <w:rFonts w:ascii="Times New Roman" w:hAnsi="Times New Roman" w:cs="Times New Roman"/>
        </w:rPr>
      </w:pPr>
      <w:r w:rsidRPr="00586C54">
        <w:rPr>
          <w:rFonts w:ascii="Times New Roman" w:hAnsi="Times New Roman" w:cs="Times New Roman"/>
        </w:rPr>
        <w:t xml:space="preserve">Závěrem byly projednány podmínky konání III. Kongresu </w:t>
      </w:r>
      <w:proofErr w:type="spellStart"/>
      <w:r w:rsidRPr="00586C54">
        <w:rPr>
          <w:rFonts w:ascii="Times New Roman" w:hAnsi="Times New Roman" w:cs="Times New Roman"/>
        </w:rPr>
        <w:t>industriAll</w:t>
      </w:r>
      <w:proofErr w:type="spellEnd"/>
      <w:r w:rsidRPr="00586C54">
        <w:rPr>
          <w:rFonts w:ascii="Times New Roman" w:hAnsi="Times New Roman" w:cs="Times New Roman"/>
        </w:rPr>
        <w:t>, který se uskuteční online formou ve dnech 1. – 2. 6. 2021.</w:t>
      </w:r>
    </w:p>
    <w:p w14:paraId="6B0D43A2" w14:textId="77777777" w:rsidR="00670D87" w:rsidRPr="00A973DB" w:rsidRDefault="00670D87" w:rsidP="00670D87">
      <w:pPr>
        <w:jc w:val="both"/>
        <w:rPr>
          <w:rFonts w:ascii="Times New Roman" w:hAnsi="Times New Roman" w:cs="Times New Roman"/>
        </w:rPr>
      </w:pPr>
    </w:p>
    <w:p w14:paraId="76E88360"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 xml:space="preserve">Jednání se za OS zúčastnili Mgr. </w:t>
      </w:r>
      <w:proofErr w:type="spellStart"/>
      <w:r w:rsidRPr="00586C54">
        <w:rPr>
          <w:rFonts w:ascii="Times New Roman" w:hAnsi="Times New Roman" w:cs="Times New Roman"/>
        </w:rPr>
        <w:t>Fedoročko</w:t>
      </w:r>
      <w:proofErr w:type="spellEnd"/>
      <w:r w:rsidRPr="00586C54">
        <w:rPr>
          <w:rFonts w:ascii="Times New Roman" w:hAnsi="Times New Roman" w:cs="Times New Roman"/>
        </w:rPr>
        <w:t xml:space="preserve"> Ondřej, předseda OS, a Hrabě Tereza, specialista pro BOZP a organizační činnost.</w:t>
      </w:r>
    </w:p>
    <w:p w14:paraId="5104FEDF" w14:textId="77777777" w:rsidR="00670D87" w:rsidRDefault="00670D87" w:rsidP="00670D87">
      <w:pPr>
        <w:jc w:val="both"/>
        <w:rPr>
          <w:rFonts w:ascii="Times New Roman" w:hAnsi="Times New Roman" w:cs="Times New Roman"/>
          <w:b/>
          <w:bCs/>
        </w:rPr>
      </w:pPr>
    </w:p>
    <w:p w14:paraId="47B29ABC" w14:textId="77777777" w:rsidR="00670D87" w:rsidRDefault="00670D87" w:rsidP="00670D87">
      <w:pPr>
        <w:jc w:val="both"/>
        <w:rPr>
          <w:rFonts w:ascii="Times New Roman" w:hAnsi="Times New Roman" w:cs="Times New Roman"/>
          <w:b/>
          <w:bCs/>
        </w:rPr>
      </w:pPr>
    </w:p>
    <w:p w14:paraId="29E70374" w14:textId="77777777" w:rsidR="00670D87" w:rsidRDefault="00670D87" w:rsidP="00670D87">
      <w:pPr>
        <w:jc w:val="both"/>
        <w:rPr>
          <w:rFonts w:ascii="Times New Roman" w:hAnsi="Times New Roman" w:cs="Times New Roman"/>
          <w:b/>
          <w:bCs/>
        </w:rPr>
      </w:pPr>
    </w:p>
    <w:p w14:paraId="1E7C34DC" w14:textId="77777777" w:rsidR="00670D87" w:rsidRPr="00586C54" w:rsidRDefault="00670D87" w:rsidP="00670D87">
      <w:pPr>
        <w:jc w:val="both"/>
        <w:rPr>
          <w:rFonts w:ascii="Times New Roman" w:hAnsi="Times New Roman" w:cs="Times New Roman"/>
          <w:b/>
          <w:bCs/>
        </w:rPr>
      </w:pPr>
      <w:r w:rsidRPr="00586C54">
        <w:rPr>
          <w:rFonts w:ascii="Times New Roman" w:hAnsi="Times New Roman" w:cs="Times New Roman"/>
          <w:b/>
          <w:bCs/>
        </w:rPr>
        <w:t>Příloha č. 1.</w:t>
      </w:r>
    </w:p>
    <w:p w14:paraId="1E04ACD9" w14:textId="77777777" w:rsidR="00670D87" w:rsidRPr="00586C54" w:rsidRDefault="00670D87" w:rsidP="00670D87">
      <w:pPr>
        <w:jc w:val="both"/>
        <w:rPr>
          <w:rFonts w:ascii="Times New Roman" w:hAnsi="Times New Roman" w:cs="Times New Roman"/>
          <w:b/>
          <w:bCs/>
        </w:rPr>
      </w:pPr>
      <w:r w:rsidRPr="00586C54">
        <w:rPr>
          <w:rFonts w:ascii="Times New Roman" w:hAnsi="Times New Roman" w:cs="Times New Roman"/>
          <w:b/>
          <w:bCs/>
        </w:rPr>
        <w:t xml:space="preserve">Návrh </w:t>
      </w:r>
      <w:proofErr w:type="spellStart"/>
      <w:r w:rsidRPr="00586C54">
        <w:rPr>
          <w:rFonts w:ascii="Times New Roman" w:hAnsi="Times New Roman" w:cs="Times New Roman"/>
          <w:b/>
          <w:bCs/>
        </w:rPr>
        <w:t>industriAll</w:t>
      </w:r>
      <w:proofErr w:type="spellEnd"/>
      <w:r w:rsidRPr="00586C54">
        <w:rPr>
          <w:rFonts w:ascii="Times New Roman" w:hAnsi="Times New Roman" w:cs="Times New Roman"/>
          <w:b/>
          <w:bCs/>
        </w:rPr>
        <w:t xml:space="preserve"> </w:t>
      </w:r>
      <w:proofErr w:type="spellStart"/>
      <w:r w:rsidRPr="00586C54">
        <w:rPr>
          <w:rFonts w:ascii="Times New Roman" w:hAnsi="Times New Roman" w:cs="Times New Roman"/>
          <w:b/>
          <w:bCs/>
        </w:rPr>
        <w:t>Europe</w:t>
      </w:r>
      <w:proofErr w:type="spellEnd"/>
      <w:r w:rsidRPr="00586C54">
        <w:rPr>
          <w:rFonts w:ascii="Times New Roman" w:hAnsi="Times New Roman" w:cs="Times New Roman"/>
          <w:b/>
          <w:bCs/>
        </w:rPr>
        <w:t xml:space="preserve"> </w:t>
      </w:r>
      <w:proofErr w:type="spellStart"/>
      <w:r w:rsidRPr="00586C54">
        <w:rPr>
          <w:rFonts w:ascii="Times New Roman" w:hAnsi="Times New Roman" w:cs="Times New Roman"/>
          <w:b/>
          <w:bCs/>
        </w:rPr>
        <w:t>Position</w:t>
      </w:r>
      <w:proofErr w:type="spellEnd"/>
      <w:r w:rsidRPr="00586C54">
        <w:rPr>
          <w:rFonts w:ascii="Times New Roman" w:hAnsi="Times New Roman" w:cs="Times New Roman"/>
          <w:b/>
          <w:bCs/>
        </w:rPr>
        <w:t xml:space="preserve"> </w:t>
      </w:r>
      <w:proofErr w:type="spellStart"/>
      <w:r w:rsidRPr="00586C54">
        <w:rPr>
          <w:rFonts w:ascii="Times New Roman" w:hAnsi="Times New Roman" w:cs="Times New Roman"/>
          <w:b/>
          <w:bCs/>
        </w:rPr>
        <w:t>Paper</w:t>
      </w:r>
      <w:proofErr w:type="spellEnd"/>
    </w:p>
    <w:p w14:paraId="3467BAE7" w14:textId="77777777" w:rsidR="00670D87" w:rsidRPr="00586C54" w:rsidRDefault="00670D87" w:rsidP="00670D87">
      <w:pPr>
        <w:jc w:val="both"/>
        <w:rPr>
          <w:rFonts w:ascii="Times New Roman" w:hAnsi="Times New Roman" w:cs="Times New Roman"/>
          <w:b/>
          <w:bCs/>
        </w:rPr>
      </w:pPr>
      <w:r w:rsidRPr="00586C54">
        <w:rPr>
          <w:rFonts w:ascii="Times New Roman" w:hAnsi="Times New Roman" w:cs="Times New Roman"/>
          <w:b/>
          <w:bCs/>
        </w:rPr>
        <w:t>Chytrá a udržitelná strategie mobility pro Evropu</w:t>
      </w:r>
    </w:p>
    <w:p w14:paraId="0A7A00FE" w14:textId="77777777" w:rsidR="00670D87" w:rsidRPr="00586C54" w:rsidRDefault="00670D87" w:rsidP="00670D87">
      <w:pPr>
        <w:jc w:val="both"/>
        <w:rPr>
          <w:rFonts w:ascii="Times New Roman" w:hAnsi="Times New Roman" w:cs="Times New Roman"/>
          <w:sz w:val="21"/>
          <w:szCs w:val="21"/>
        </w:rPr>
      </w:pPr>
    </w:p>
    <w:p w14:paraId="0584D849" w14:textId="77777777" w:rsidR="00670D87" w:rsidRPr="00586C54" w:rsidRDefault="00670D87" w:rsidP="00670D87">
      <w:pPr>
        <w:jc w:val="both"/>
        <w:rPr>
          <w:rFonts w:ascii="Times New Roman" w:hAnsi="Times New Roman" w:cs="Times New Roman"/>
        </w:rPr>
      </w:pPr>
    </w:p>
    <w:p w14:paraId="546A0AFC" w14:textId="77777777" w:rsidR="00670D87" w:rsidRPr="00586C54" w:rsidRDefault="00670D87" w:rsidP="00670D87">
      <w:pPr>
        <w:jc w:val="both"/>
        <w:rPr>
          <w:rFonts w:ascii="Times New Roman" w:hAnsi="Times New Roman" w:cs="Times New Roman"/>
          <w:b/>
          <w:bCs/>
        </w:rPr>
      </w:pPr>
      <w:r w:rsidRPr="00586C54">
        <w:rPr>
          <w:rFonts w:ascii="Times New Roman" w:hAnsi="Times New Roman" w:cs="Times New Roman"/>
          <w:b/>
          <w:bCs/>
        </w:rPr>
        <w:t>1. Úvod</w:t>
      </w:r>
    </w:p>
    <w:p w14:paraId="033454AB" w14:textId="77777777" w:rsidR="00670D87" w:rsidRPr="00586C54" w:rsidRDefault="00670D87" w:rsidP="00670D87">
      <w:pPr>
        <w:jc w:val="both"/>
        <w:rPr>
          <w:rFonts w:ascii="Times New Roman" w:hAnsi="Times New Roman" w:cs="Times New Roman"/>
        </w:rPr>
      </w:pPr>
    </w:p>
    <w:p w14:paraId="09A0E5E9"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Evropská komise zveřejnila svoji strategii udržitelné a inteligentní mobility dne 9. prosince 2020. Tento dokument stanoví řadu ambiciózních cílů a milníků, aby byl dopravní systém EU přizpůsoben klimaticky neutrálnímu a digitálnímu světu.</w:t>
      </w:r>
    </w:p>
    <w:p w14:paraId="7CA0E18D" w14:textId="77777777" w:rsidR="00670D87" w:rsidRPr="00586C54" w:rsidRDefault="00670D87" w:rsidP="00670D87">
      <w:pPr>
        <w:jc w:val="both"/>
        <w:rPr>
          <w:rFonts w:ascii="Times New Roman" w:hAnsi="Times New Roman" w:cs="Times New Roman"/>
        </w:rPr>
      </w:pPr>
    </w:p>
    <w:p w14:paraId="42F9E11D" w14:textId="77777777" w:rsidR="00670D87" w:rsidRPr="00586C54" w:rsidRDefault="00670D87" w:rsidP="00670D87">
      <w:pPr>
        <w:jc w:val="both"/>
        <w:rPr>
          <w:rFonts w:ascii="Times New Roman" w:hAnsi="Times New Roman" w:cs="Times New Roman"/>
        </w:rPr>
      </w:pPr>
      <w:proofErr w:type="spellStart"/>
      <w:r w:rsidRPr="00586C54">
        <w:rPr>
          <w:rFonts w:ascii="Times New Roman" w:hAnsi="Times New Roman" w:cs="Times New Roman"/>
        </w:rPr>
        <w:t>IndustriAll</w:t>
      </w:r>
      <w:proofErr w:type="spellEnd"/>
      <w:r w:rsidRPr="00586C54">
        <w:rPr>
          <w:rFonts w:ascii="Times New Roman" w:hAnsi="Times New Roman" w:cs="Times New Roman"/>
        </w:rPr>
        <w:t xml:space="preserve"> </w:t>
      </w:r>
      <w:proofErr w:type="spellStart"/>
      <w:r w:rsidRPr="00586C54">
        <w:rPr>
          <w:rFonts w:ascii="Times New Roman" w:hAnsi="Times New Roman" w:cs="Times New Roman"/>
        </w:rPr>
        <w:t>Europe</w:t>
      </w:r>
      <w:proofErr w:type="spellEnd"/>
      <w:r w:rsidRPr="00586C54">
        <w:rPr>
          <w:rFonts w:ascii="Times New Roman" w:hAnsi="Times New Roman" w:cs="Times New Roman"/>
        </w:rPr>
        <w:t xml:space="preserve"> podporuje cíl dosáhnout klimatické neutrality do roku 2050, přičemž zdůrazňuje potřebu spravedlivého přechodu a průmyslovou strategii bohatou na pracovní místa. Tato zpráva je důležitá i pro odvětví související s dopravou. Dopravní výrobní odvětví jsou důležitými poskytovateli pracovních míst. Výroba automobilů (montáž a dodavatelé) zaměstnává 2,6 milionu pracovníků, zatímco všechny činnosti související s automobilovým průmyslem zaměstnávají v Evropě 14 milionů lidí. Letectví a obrana (900 000), stavba lodí a námořní technologie (500 000) a železniční doprava (400 000) jsou rovněž důležitými poskytovateli pracovních míst. Tato odvětví rovněž vytvářejí nepřímá pracovní místa v předvýrobní a navazující výrobě. Základní průmyslová odvětví (ocel a základní kovy, chemikálie a základní materiály) jsou důležitými dodavateli výrobních průmyslových odvětví souvisejících s dopravou, zatímco údržba a energie jsou také klíčovými prvky hodnotového řetězce.</w:t>
      </w:r>
    </w:p>
    <w:p w14:paraId="073DECAE" w14:textId="77777777" w:rsidR="00670D87" w:rsidRPr="00586C54" w:rsidRDefault="00670D87" w:rsidP="00670D87">
      <w:pPr>
        <w:jc w:val="both"/>
        <w:rPr>
          <w:rFonts w:ascii="Times New Roman" w:hAnsi="Times New Roman" w:cs="Times New Roman"/>
        </w:rPr>
      </w:pPr>
    </w:p>
    <w:p w14:paraId="6DAD8C33"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 xml:space="preserve">Doprava je také strategickým prvkem komplexních a globálních dodavatelských řetězců. Evropský průmysl vyžaduje dobře fungující a konkurenceschopný mezinárodní dopravní systém pro dovoz surovin a meziproduktů, které potřebují pro export své produkce na zahraniční trhy. </w:t>
      </w:r>
    </w:p>
    <w:p w14:paraId="35E87B30" w14:textId="77777777" w:rsidR="00670D87" w:rsidRPr="00586C54" w:rsidRDefault="00670D87" w:rsidP="00670D87">
      <w:pPr>
        <w:jc w:val="both"/>
        <w:rPr>
          <w:rFonts w:ascii="Times New Roman" w:hAnsi="Times New Roman" w:cs="Times New Roman"/>
        </w:rPr>
      </w:pPr>
    </w:p>
    <w:p w14:paraId="32CAA140"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 xml:space="preserve">Jako odborové svazy nemůžeme přijmout, abychom politickou debatu o dopravě postavili jako technologický posun, z něhož musí mít prospěch výhradně spotřebitelé a podniky, aniž bychom vyhodnotili dopady, které to má na pracovníky a na pracovní podmínky. Evropský odborový svaz </w:t>
      </w:r>
      <w:proofErr w:type="spellStart"/>
      <w:r w:rsidRPr="00586C54">
        <w:rPr>
          <w:rFonts w:ascii="Times New Roman" w:hAnsi="Times New Roman" w:cs="Times New Roman"/>
        </w:rPr>
        <w:t>industriAll</w:t>
      </w:r>
      <w:proofErr w:type="spellEnd"/>
      <w:r w:rsidRPr="00586C54">
        <w:rPr>
          <w:rFonts w:ascii="Times New Roman" w:hAnsi="Times New Roman" w:cs="Times New Roman"/>
        </w:rPr>
        <w:t xml:space="preserve"> chce zdůraznit řadu dimenzí, které byly Strategií inteligentní a udržitelné mobility Evropské komise přehlíženy. Cílem tohoto politického dokumentu je formulovat řadu klíčových požadavků vůči evropským politikům v oblasti dodávek dopravní politiky, která bude formovat logistické a dopravní základny nezbytné pro podporu a rozvoj konkurenceschopného evropského průmyslu s vysokou přidanou hodnotou. Dopravní politika musí také řešit digitální a environmentální výzvy a zároveň usilovat o uzavřenou společnost.</w:t>
      </w:r>
    </w:p>
    <w:p w14:paraId="2298F2A9" w14:textId="77777777" w:rsidR="00670D87" w:rsidRPr="00586C54" w:rsidRDefault="00670D87" w:rsidP="00670D87">
      <w:pPr>
        <w:jc w:val="both"/>
        <w:rPr>
          <w:rFonts w:ascii="Times New Roman" w:hAnsi="Times New Roman" w:cs="Times New Roman"/>
        </w:rPr>
      </w:pPr>
    </w:p>
    <w:p w14:paraId="60A21223" w14:textId="77777777" w:rsidR="00670D87" w:rsidRDefault="00670D87" w:rsidP="00670D87">
      <w:pPr>
        <w:jc w:val="both"/>
        <w:rPr>
          <w:rFonts w:ascii="Times New Roman" w:hAnsi="Times New Roman" w:cs="Times New Roman"/>
          <w:b/>
          <w:bCs/>
        </w:rPr>
      </w:pPr>
    </w:p>
    <w:p w14:paraId="449EB343" w14:textId="77777777" w:rsidR="00670D87" w:rsidRPr="00586C54" w:rsidRDefault="00670D87" w:rsidP="00670D87">
      <w:pPr>
        <w:jc w:val="both"/>
        <w:rPr>
          <w:rFonts w:ascii="Times New Roman" w:hAnsi="Times New Roman" w:cs="Times New Roman"/>
          <w:b/>
          <w:bCs/>
        </w:rPr>
      </w:pPr>
      <w:r w:rsidRPr="00586C54">
        <w:rPr>
          <w:rFonts w:ascii="Times New Roman" w:hAnsi="Times New Roman" w:cs="Times New Roman"/>
          <w:b/>
          <w:bCs/>
        </w:rPr>
        <w:t>2. Udržitelná mobilita: nezbytná, ale náročná transformace</w:t>
      </w:r>
    </w:p>
    <w:p w14:paraId="174FF66C" w14:textId="77777777" w:rsidR="00670D87" w:rsidRPr="00586C54" w:rsidRDefault="00670D87" w:rsidP="00670D87">
      <w:pPr>
        <w:jc w:val="both"/>
        <w:rPr>
          <w:rFonts w:ascii="Times New Roman" w:hAnsi="Times New Roman" w:cs="Times New Roman"/>
        </w:rPr>
      </w:pPr>
    </w:p>
    <w:p w14:paraId="71AD41FB"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 xml:space="preserve">V souvislosti se </w:t>
      </w:r>
      <w:proofErr w:type="gramStart"/>
      <w:r w:rsidRPr="00586C54">
        <w:rPr>
          <w:rFonts w:ascii="Times New Roman" w:hAnsi="Times New Roman" w:cs="Times New Roman"/>
        </w:rPr>
        <w:t>Zelenou</w:t>
      </w:r>
      <w:proofErr w:type="gramEnd"/>
      <w:r w:rsidRPr="00586C54">
        <w:rPr>
          <w:rFonts w:ascii="Times New Roman" w:hAnsi="Times New Roman" w:cs="Times New Roman"/>
        </w:rPr>
        <w:t xml:space="preserve"> dohodou se EU rozhodla zvýšit svůj cíl snížení emisí skleníkových plynů do roku 2030 o nejméně 55 % proti úrovni skleníkových plynů z roku 1990. Tato revize se považuje za nezbytnou, aby EU se mohla stát se do roku 2050 prvním klimaticky neutrálním kontinentem a zároveň být v souladu s cíli Pařížské dohody. V důsledku toho budou právní předpisy EU v oblasti klimatu přezkoumány na základě komplexního souboru návrhů, který se očekává od Evropské komise do června 2021.</w:t>
      </w:r>
    </w:p>
    <w:p w14:paraId="1EC93598" w14:textId="77777777" w:rsidR="00670D87" w:rsidRPr="00586C54" w:rsidRDefault="00670D87" w:rsidP="00670D87">
      <w:pPr>
        <w:jc w:val="both"/>
        <w:rPr>
          <w:rFonts w:ascii="Times New Roman" w:hAnsi="Times New Roman" w:cs="Times New Roman"/>
          <w:b/>
          <w:bCs/>
        </w:rPr>
      </w:pPr>
    </w:p>
    <w:p w14:paraId="2819C1FE" w14:textId="77777777" w:rsidR="00670D87" w:rsidRPr="00586C54" w:rsidRDefault="00670D87" w:rsidP="00670D87">
      <w:pPr>
        <w:jc w:val="both"/>
        <w:rPr>
          <w:rFonts w:ascii="Times New Roman" w:hAnsi="Times New Roman" w:cs="Times New Roman"/>
          <w:b/>
          <w:bCs/>
        </w:rPr>
      </w:pPr>
      <w:r w:rsidRPr="00586C54">
        <w:rPr>
          <w:rFonts w:ascii="Times New Roman" w:hAnsi="Times New Roman" w:cs="Times New Roman"/>
          <w:b/>
          <w:bCs/>
        </w:rPr>
        <w:t>Klíčové milníky inteligentní a udržitelné mobility v EU</w:t>
      </w:r>
    </w:p>
    <w:p w14:paraId="7F33E278" w14:textId="77777777" w:rsidR="00670D87" w:rsidRPr="00586C54" w:rsidRDefault="00670D87" w:rsidP="00670D87">
      <w:pPr>
        <w:jc w:val="both"/>
        <w:rPr>
          <w:rFonts w:ascii="Times New Roman" w:hAnsi="Times New Roman" w:cs="Times New Roman"/>
        </w:rPr>
      </w:pPr>
    </w:p>
    <w:p w14:paraId="04841474" w14:textId="77777777" w:rsidR="00670D87" w:rsidRPr="00586C54" w:rsidRDefault="00670D87" w:rsidP="00670D87">
      <w:pPr>
        <w:jc w:val="both"/>
        <w:rPr>
          <w:rFonts w:ascii="Times New Roman" w:hAnsi="Times New Roman" w:cs="Times New Roman"/>
          <w:b/>
          <w:bCs/>
        </w:rPr>
      </w:pPr>
      <w:r w:rsidRPr="00586C54">
        <w:rPr>
          <w:rFonts w:ascii="Times New Roman" w:hAnsi="Times New Roman" w:cs="Times New Roman"/>
          <w:b/>
          <w:bCs/>
        </w:rPr>
        <w:t>Do roku 2030:</w:t>
      </w:r>
    </w:p>
    <w:p w14:paraId="5A11472F"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 na evropských silnicích bude v provozu nejméně 30 milionů automobilů s nulovými emisemi</w:t>
      </w:r>
    </w:p>
    <w:p w14:paraId="63E4B3E2"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- 100 evropských měst bude klimaticky neutrálních,</w:t>
      </w:r>
    </w:p>
    <w:p w14:paraId="57D5CED3"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 vysokorychlostní železniční doprava se v celé Evropě zdvojnásobí,</w:t>
      </w:r>
    </w:p>
    <w:p w14:paraId="406C59CE"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 plánované hromadné cestování pro cesty do 500 km by mělo být uhlíkově neutrální,</w:t>
      </w:r>
    </w:p>
    <w:p w14:paraId="17BE15EB"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 automatizovaná mobilita bude nasazena ve velkém měřítku,</w:t>
      </w:r>
    </w:p>
    <w:p w14:paraId="725BA94A"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 námořní plavidla s nulovými emisemi budou připravena k uvedení na trh.</w:t>
      </w:r>
    </w:p>
    <w:p w14:paraId="417A82AE" w14:textId="77777777" w:rsidR="00670D87" w:rsidRPr="00586C54" w:rsidRDefault="00670D87" w:rsidP="00670D87">
      <w:pPr>
        <w:jc w:val="both"/>
        <w:rPr>
          <w:rFonts w:ascii="Times New Roman" w:hAnsi="Times New Roman" w:cs="Times New Roman"/>
        </w:rPr>
      </w:pPr>
    </w:p>
    <w:p w14:paraId="13F41E5C" w14:textId="77777777" w:rsidR="00670D87" w:rsidRPr="00586C54" w:rsidRDefault="00670D87" w:rsidP="00670D87">
      <w:pPr>
        <w:jc w:val="both"/>
        <w:rPr>
          <w:rFonts w:ascii="Times New Roman" w:hAnsi="Times New Roman" w:cs="Times New Roman"/>
          <w:b/>
          <w:bCs/>
        </w:rPr>
      </w:pPr>
      <w:r w:rsidRPr="00586C54">
        <w:rPr>
          <w:rFonts w:ascii="Times New Roman" w:hAnsi="Times New Roman" w:cs="Times New Roman"/>
          <w:b/>
          <w:bCs/>
        </w:rPr>
        <w:t>Do roku 2035:</w:t>
      </w:r>
    </w:p>
    <w:p w14:paraId="173D7E66"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 velká letadla s nulovými emisemi budou připravena k uvedení na trh.</w:t>
      </w:r>
    </w:p>
    <w:p w14:paraId="2D26D3C4" w14:textId="77777777" w:rsidR="00670D87" w:rsidRPr="00586C54" w:rsidRDefault="00670D87" w:rsidP="00670D87">
      <w:pPr>
        <w:jc w:val="both"/>
        <w:rPr>
          <w:rFonts w:ascii="Times New Roman" w:hAnsi="Times New Roman" w:cs="Times New Roman"/>
          <w:b/>
          <w:bCs/>
        </w:rPr>
      </w:pPr>
    </w:p>
    <w:p w14:paraId="4596CF55" w14:textId="77777777" w:rsidR="00670D87" w:rsidRPr="00586C54" w:rsidRDefault="00670D87" w:rsidP="00670D87">
      <w:pPr>
        <w:jc w:val="both"/>
        <w:rPr>
          <w:rFonts w:ascii="Times New Roman" w:hAnsi="Times New Roman" w:cs="Times New Roman"/>
          <w:b/>
          <w:bCs/>
        </w:rPr>
      </w:pPr>
      <w:r w:rsidRPr="00586C54">
        <w:rPr>
          <w:rFonts w:ascii="Times New Roman" w:hAnsi="Times New Roman" w:cs="Times New Roman"/>
          <w:b/>
          <w:bCs/>
        </w:rPr>
        <w:t>Do roku 2050:</w:t>
      </w:r>
    </w:p>
    <w:p w14:paraId="459CD482"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 téměř všechna auta, dodávky, autobusy i nová těžká nákladní vozidla budou mít nulové emise,</w:t>
      </w:r>
    </w:p>
    <w:p w14:paraId="2C9156E5"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 nákladní železniční doprava se zdvojnásobí,</w:t>
      </w:r>
    </w:p>
    <w:p w14:paraId="5EBF5699"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 plně funkční multimodální transevropská dopravní síť (TEN-T) pro udržitelnou a inteligentní dopravu s vysokorychlostním připojením.</w:t>
      </w:r>
    </w:p>
    <w:p w14:paraId="6D6A0964" w14:textId="77777777" w:rsidR="00670D87" w:rsidRPr="00586C54" w:rsidRDefault="00670D87" w:rsidP="00670D87">
      <w:pPr>
        <w:jc w:val="both"/>
        <w:rPr>
          <w:rFonts w:ascii="Times New Roman" w:hAnsi="Times New Roman" w:cs="Times New Roman"/>
        </w:rPr>
      </w:pPr>
    </w:p>
    <w:p w14:paraId="17F72B0E" w14:textId="77777777" w:rsidR="00670D87" w:rsidRPr="00586C54" w:rsidRDefault="00670D87" w:rsidP="00670D87">
      <w:pPr>
        <w:jc w:val="both"/>
        <w:rPr>
          <w:rFonts w:ascii="Times New Roman" w:hAnsi="Times New Roman" w:cs="Times New Roman"/>
        </w:rPr>
      </w:pPr>
      <w:proofErr w:type="spellStart"/>
      <w:r w:rsidRPr="00586C54">
        <w:rPr>
          <w:rFonts w:ascii="Times New Roman" w:hAnsi="Times New Roman" w:cs="Times New Roman"/>
        </w:rPr>
        <w:t>IndustriAll</w:t>
      </w:r>
      <w:proofErr w:type="spellEnd"/>
      <w:r w:rsidRPr="00586C54">
        <w:rPr>
          <w:rFonts w:ascii="Times New Roman" w:hAnsi="Times New Roman" w:cs="Times New Roman"/>
        </w:rPr>
        <w:t xml:space="preserve"> </w:t>
      </w:r>
      <w:proofErr w:type="spellStart"/>
      <w:r w:rsidRPr="00586C54">
        <w:rPr>
          <w:rFonts w:ascii="Times New Roman" w:hAnsi="Times New Roman" w:cs="Times New Roman"/>
        </w:rPr>
        <w:t>Europe</w:t>
      </w:r>
      <w:proofErr w:type="spellEnd"/>
      <w:r w:rsidRPr="00586C54">
        <w:rPr>
          <w:rFonts w:ascii="Times New Roman" w:hAnsi="Times New Roman" w:cs="Times New Roman"/>
        </w:rPr>
        <w:t xml:space="preserve"> podporuje cíle Evropské </w:t>
      </w:r>
      <w:proofErr w:type="gramStart"/>
      <w:r w:rsidRPr="00586C54">
        <w:rPr>
          <w:rFonts w:ascii="Times New Roman" w:hAnsi="Times New Roman" w:cs="Times New Roman"/>
        </w:rPr>
        <w:t>Zelené</w:t>
      </w:r>
      <w:proofErr w:type="gramEnd"/>
      <w:r w:rsidRPr="00586C54">
        <w:rPr>
          <w:rFonts w:ascii="Times New Roman" w:hAnsi="Times New Roman" w:cs="Times New Roman"/>
        </w:rPr>
        <w:t xml:space="preserve"> dohody, a to i pokud jde o dopravu. Z tohoto pohledu je velikost mezery mezi ambicemi a současnou realitou markantní. Letecký průmysl konkrétně vyjádřil obavy, že ambice mít do roku 2035 velká letadla s nulovými emisemi bude extrémně obtížná, protože některé technologie (např. elektrifikace) nebudou pro dálkové lety možné. Proto skutečně existuje potřeba ambiciózních strategií výzkumu a vývoje </w:t>
      </w:r>
      <w:r w:rsidRPr="00586C54">
        <w:rPr>
          <w:rFonts w:ascii="Times New Roman" w:hAnsi="Times New Roman" w:cs="Times New Roman"/>
        </w:rPr>
        <w:lastRenderedPageBreak/>
        <w:t>podporovaných velkými rozpočty, které by plně posoudily všechny technologické možnosti a zajistily, aby vysoce specifické technologie, z nichž mnohé jsou teprve v pilotní fázi, byly připraveny na trh včas. EU jako taková musí být připravena tyto milníky podpořit odvětvovými průmyslovými strategiemi vyvinutými s příslušnými společnostmi a zapojením odvětvových sociálních partnerů. Měly by být prozkoumány všechny zdroje financování, národní i evropské, přičemž potenciál obnovy vozového parku v některých odvětvích je jedinečná příležitost přinést na trh nejen ekologičtější vozidla a plavidla, ale také podpořit zaměstnanost v těchto odvětvích.</w:t>
      </w:r>
    </w:p>
    <w:p w14:paraId="003B76F4" w14:textId="77777777" w:rsidR="00670D87" w:rsidRPr="00586C54" w:rsidRDefault="00670D87" w:rsidP="00670D87">
      <w:pPr>
        <w:jc w:val="both"/>
        <w:rPr>
          <w:rFonts w:ascii="Times New Roman" w:hAnsi="Times New Roman" w:cs="Times New Roman"/>
        </w:rPr>
      </w:pPr>
    </w:p>
    <w:p w14:paraId="044F3155"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Další milníky jsou spojeny se stávajícími technologiemi, které jsou nasazeny v měřítku daleko od cíle. Například prodej elektrických vozidel se v Evropě od roku 2019 do roku 2020 zvýšil o 135 %. Avšak automobily s nulovými emisemi představují jen malý podíl současného evropského vozového parku, a to navzdory masivnímu rozmachu prodeje elektrifikovaných vozidel. Nabíjecí stanice potvrzují rozdíl mezi ambicemi a skutečností, protože cílem EU je mít do roku 2030 3 miliony veřejných dobíjecích stanic, zatímco v současnosti jich v zemích EU existuje pouze cca 224 000.</w:t>
      </w:r>
    </w:p>
    <w:p w14:paraId="6D243051" w14:textId="77777777" w:rsidR="00670D87" w:rsidRPr="00586C54" w:rsidRDefault="00670D87" w:rsidP="00670D87">
      <w:pPr>
        <w:jc w:val="both"/>
        <w:rPr>
          <w:rFonts w:ascii="Times New Roman" w:hAnsi="Times New Roman" w:cs="Times New Roman"/>
        </w:rPr>
      </w:pPr>
    </w:p>
    <w:p w14:paraId="205E829C"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 xml:space="preserve">Překlenutí propasti mezi ambicí a realitou bude vyžadovat obrovské úsilí ze strany EU i vlád jednotlivých států, aby v případě potřeby podpořily výzkum a inovace a urychlily zavádění požadovaných infrastruktur. K překlenutí této propasti nedojde přes noc. V bílé knize o dopravě z roku 2011, jakož i ve strategii EU s nízkými emisemi z roku 2016, se správně ukázalo, že k čištění dopravy je zapotřebí „integrovaný systémový přístup“. Zachování tohoto systémového přístupu a koordinace změn různých prvků je zásadní. Opatření „Přizpůsobit se 55 %“ musí být prováděna tempem, které je slučitelné s časem potřebným na transformaci výrobních zařízení, výstavbu nových závodů, zlepšení infrastruktury, vytvoření hlavních trhů nebo školení zaměstnanců. Elektrifikace dopravy vyžaduje zejména očekávání jejího dopadu na výrobu elektřiny a na elektrickou síť. Tento aspekt není ve strategii EU pro mobilitu dostatečně rozvinut. Elektrifikace dopravy bude proveditelná v souladu s cíli </w:t>
      </w:r>
      <w:proofErr w:type="gramStart"/>
      <w:r w:rsidRPr="00586C54">
        <w:rPr>
          <w:rFonts w:ascii="Times New Roman" w:hAnsi="Times New Roman" w:cs="Times New Roman"/>
        </w:rPr>
        <w:t>Zelené</w:t>
      </w:r>
      <w:proofErr w:type="gramEnd"/>
      <w:r w:rsidRPr="00586C54">
        <w:rPr>
          <w:rFonts w:ascii="Times New Roman" w:hAnsi="Times New Roman" w:cs="Times New Roman"/>
        </w:rPr>
        <w:t xml:space="preserve"> dohody pouze pokud bude dobře koordinována s rozvojem nízkouhlíkových dodávek elektřiny, aby absorbovala nárůst poptávky po elektřině, kterou elektrifikace dopravy vyžaduje. Je třeba mít na paměti, že kromě dopravy mnoho průmyslových odvětví v nadcházejících letech dramaticky zvýší svoji spotřebu elektřiny (tj. přímou elektrifikací výrobních procesů i výrobou alternativních krmiv, jako je vodík). Rozvoj přiměřené kapacity sítě a nabíjecí infrastruktury je dalším klíčovým aktivačním prvkem pro elektrifikaci dopravy, který vyžaduje zvýšené úsilí na evropské úrovni ke koordinaci společného rozvoje odvětví energetiky a dopravy.</w:t>
      </w:r>
    </w:p>
    <w:p w14:paraId="64C54CA6" w14:textId="77777777" w:rsidR="00670D87" w:rsidRPr="00586C54" w:rsidRDefault="00670D87" w:rsidP="00670D87">
      <w:pPr>
        <w:jc w:val="both"/>
        <w:rPr>
          <w:rFonts w:ascii="Times New Roman" w:hAnsi="Times New Roman" w:cs="Times New Roman"/>
        </w:rPr>
      </w:pPr>
    </w:p>
    <w:p w14:paraId="001A5C11"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 xml:space="preserve">Opatření v rámci balíčku opatření „Přizpůsobit 55 %“ proto musí být založena na důkladném posouzení dopadů pro všechna dotčená odvětví, aby se zabránilo rušivým změnám pracovníků. Tato posouzení dopadů musí také lépe mapovat dopad dekarbonizace dopravy na regionální úrovni (NUTS 2). </w:t>
      </w:r>
      <w:proofErr w:type="spellStart"/>
      <w:r w:rsidRPr="00586C54">
        <w:rPr>
          <w:rFonts w:ascii="Times New Roman" w:hAnsi="Times New Roman" w:cs="Times New Roman"/>
        </w:rPr>
        <w:t>IndustriAll</w:t>
      </w:r>
      <w:proofErr w:type="spellEnd"/>
      <w:r w:rsidRPr="00586C54">
        <w:rPr>
          <w:rFonts w:ascii="Times New Roman" w:hAnsi="Times New Roman" w:cs="Times New Roman"/>
        </w:rPr>
        <w:t xml:space="preserve"> </w:t>
      </w:r>
      <w:proofErr w:type="spellStart"/>
      <w:r w:rsidRPr="00586C54">
        <w:rPr>
          <w:rFonts w:ascii="Times New Roman" w:hAnsi="Times New Roman" w:cs="Times New Roman"/>
        </w:rPr>
        <w:t>Europe</w:t>
      </w:r>
      <w:proofErr w:type="spellEnd"/>
      <w:r w:rsidRPr="00586C54">
        <w:rPr>
          <w:rFonts w:ascii="Times New Roman" w:hAnsi="Times New Roman" w:cs="Times New Roman"/>
        </w:rPr>
        <w:t xml:space="preserve"> plně podporuje transformaci dopravy, ale načasování a koordinace jsou důležité, pokud jde o změnu dopravy prostřednictvím systémového přístupu. Desetiletí před námi musí urychlit transformaci, nikoli vyvolat narušení. Revidovaný rámec v oblasti klimatu do roku 2030 musí být navržen odpovídajícím způsobem.</w:t>
      </w:r>
    </w:p>
    <w:p w14:paraId="0E4AB0E6" w14:textId="77777777" w:rsidR="00670D87" w:rsidRPr="00586C54" w:rsidRDefault="00670D87" w:rsidP="00670D87">
      <w:pPr>
        <w:jc w:val="both"/>
        <w:rPr>
          <w:rFonts w:ascii="Times New Roman" w:hAnsi="Times New Roman" w:cs="Times New Roman"/>
        </w:rPr>
      </w:pPr>
    </w:p>
    <w:p w14:paraId="62712E49" w14:textId="77777777" w:rsidR="00670D87" w:rsidRPr="00586C54" w:rsidRDefault="00670D87" w:rsidP="00670D87">
      <w:pPr>
        <w:jc w:val="both"/>
        <w:rPr>
          <w:rFonts w:ascii="Times New Roman" w:hAnsi="Times New Roman" w:cs="Times New Roman"/>
          <w:b/>
          <w:bCs/>
        </w:rPr>
      </w:pPr>
      <w:r w:rsidRPr="00586C54">
        <w:rPr>
          <w:rFonts w:ascii="Times New Roman" w:hAnsi="Times New Roman" w:cs="Times New Roman"/>
          <w:b/>
          <w:bCs/>
        </w:rPr>
        <w:t>3. Dopravní zařízení a technologie vyžadují průmyslovou strategii</w:t>
      </w:r>
    </w:p>
    <w:p w14:paraId="2B09A0B6" w14:textId="77777777" w:rsidR="00670D87" w:rsidRPr="00586C54" w:rsidRDefault="00670D87" w:rsidP="00670D87">
      <w:pPr>
        <w:jc w:val="both"/>
        <w:rPr>
          <w:rFonts w:ascii="Times New Roman" w:hAnsi="Times New Roman" w:cs="Times New Roman"/>
        </w:rPr>
      </w:pPr>
    </w:p>
    <w:p w14:paraId="2B672B47"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 xml:space="preserve">I když doprava představuje významný zdroj emisí skleníkových plynů, má pro prosperitu EU zásadní význam. Zpracovatelský průmysl je dodavatelem dopravních zařízení (vozidla, kolejová vozidla, lodě, letadla) a infrastrukturních technologií (např. tratě, signalizace). Doprava je také nepřímo důležitým trhem pro evropská základní průmyslová odvětví (základní </w:t>
      </w:r>
      <w:r w:rsidRPr="00586C54">
        <w:rPr>
          <w:rFonts w:ascii="Times New Roman" w:hAnsi="Times New Roman" w:cs="Times New Roman"/>
        </w:rPr>
        <w:lastRenderedPageBreak/>
        <w:t>kovy a ocel, sklo, chemikálie). Odvětví související s dopravou musí být považována za strategická pro průmyslovou strategii EU.</w:t>
      </w:r>
    </w:p>
    <w:p w14:paraId="2FF40F5F" w14:textId="77777777" w:rsidR="00670D87" w:rsidRPr="00586C54" w:rsidRDefault="00670D87" w:rsidP="00670D87">
      <w:pPr>
        <w:jc w:val="both"/>
        <w:rPr>
          <w:rFonts w:ascii="Times New Roman" w:hAnsi="Times New Roman" w:cs="Times New Roman"/>
        </w:rPr>
      </w:pPr>
    </w:p>
    <w:p w14:paraId="40FE7B6A" w14:textId="77777777" w:rsidR="00670D87" w:rsidRPr="00586C54" w:rsidRDefault="00670D87" w:rsidP="00670D87">
      <w:pPr>
        <w:jc w:val="both"/>
        <w:rPr>
          <w:rFonts w:ascii="Times New Roman" w:hAnsi="Times New Roman" w:cs="Times New Roman"/>
        </w:rPr>
      </w:pPr>
      <w:proofErr w:type="spellStart"/>
      <w:r w:rsidRPr="00586C54">
        <w:rPr>
          <w:rFonts w:ascii="Times New Roman" w:hAnsi="Times New Roman" w:cs="Times New Roman"/>
        </w:rPr>
        <w:t>IndustriAll</w:t>
      </w:r>
      <w:proofErr w:type="spellEnd"/>
      <w:r w:rsidRPr="00586C54">
        <w:rPr>
          <w:rFonts w:ascii="Times New Roman" w:hAnsi="Times New Roman" w:cs="Times New Roman"/>
        </w:rPr>
        <w:t xml:space="preserve"> </w:t>
      </w:r>
      <w:proofErr w:type="spellStart"/>
      <w:r w:rsidRPr="00586C54">
        <w:rPr>
          <w:rFonts w:ascii="Times New Roman" w:hAnsi="Times New Roman" w:cs="Times New Roman"/>
        </w:rPr>
        <w:t>Europe</w:t>
      </w:r>
      <w:proofErr w:type="spellEnd"/>
      <w:r w:rsidRPr="00586C54">
        <w:rPr>
          <w:rFonts w:ascii="Times New Roman" w:hAnsi="Times New Roman" w:cs="Times New Roman"/>
        </w:rPr>
        <w:t xml:space="preserve"> vítá cíl, aby byla doprava v EU vhodná pro digitální hospodářství s nulovými emisemi. Jasný směr pro dopravu v EU zajistí evropskému dopravnímu průmyslu a pracovníkům jasnost a stabilitu. Evropa musí využít příležitosti a stát se lídrem v odvětví čisté a nízkouhlíkové dopravy. Status quo není možné. Strategie mobility EU poskytuje příležitosti pro průmysl a pro průmyslovou celou Evropu je nanejvýš důležité, aby tato strategie vedla k masivní obnově vozového parku pro silniční, leteckou, vodní a železniční dopravu. Bude rovněž zásadní zajistit, aby strategie přispívala k posílení vedoucího postavení EU v průmyslu ve výrobě přepravního zboží a zařízení.</w:t>
      </w:r>
    </w:p>
    <w:p w14:paraId="7DD16B6B" w14:textId="77777777" w:rsidR="00670D87" w:rsidRPr="00586C54" w:rsidRDefault="00670D87" w:rsidP="00670D87">
      <w:pPr>
        <w:jc w:val="both"/>
        <w:rPr>
          <w:rFonts w:ascii="Times New Roman" w:hAnsi="Times New Roman" w:cs="Times New Roman"/>
        </w:rPr>
      </w:pPr>
    </w:p>
    <w:p w14:paraId="6612E6DF"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Toto vedoucí postavení v průmyslu bude nejprve záviset na schopnosti Evropy udržet v Evropě silné a inovativní průmyslové dodavatelské řetězce v dotčených odvětvích, jako je automobilový průmysl, letecký průmysl, stavba lodí a železniční doprava. Tato odvětví proto musí být jádrem evropských a vnitrostátních plánů obnovy.</w:t>
      </w:r>
    </w:p>
    <w:p w14:paraId="7E2FF4B7" w14:textId="77777777" w:rsidR="00670D87" w:rsidRPr="00586C54" w:rsidRDefault="00670D87" w:rsidP="00670D87">
      <w:pPr>
        <w:jc w:val="both"/>
        <w:rPr>
          <w:rFonts w:ascii="Times New Roman" w:hAnsi="Times New Roman" w:cs="Times New Roman"/>
        </w:rPr>
      </w:pPr>
    </w:p>
    <w:p w14:paraId="10CC0C6A"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 xml:space="preserve">Vedoucí postavení evropského průmyslu vyžaduje výrobu technologií potřebných k tomu, aby byl evropský dopravní systém klimaticky neutrální a digitální. I když je elektrifikace jednoznačně hlavní možností, pokud jde o dekarbonizaci silniční dopravy, nemusí to být nejrelevantnější volba pro těžší nebo dálkové druhy dopravy. Jak zdůraznila Evropská komise ve svém sdělení „Čistá planeta pro všechny“ z roku 2018, je třeba zvážit širokou škálu technologií a přístup EU musí být založen na technologické neutralitě. Při dekarbonizaci dopravního systému budou hrát roli baterie, vodík, moderní biopaliva, </w:t>
      </w:r>
      <w:proofErr w:type="spellStart"/>
      <w:r w:rsidRPr="00586C54">
        <w:rPr>
          <w:rFonts w:ascii="Times New Roman" w:hAnsi="Times New Roman" w:cs="Times New Roman"/>
        </w:rPr>
        <w:t>biometan</w:t>
      </w:r>
      <w:proofErr w:type="spellEnd"/>
      <w:r w:rsidRPr="00586C54">
        <w:rPr>
          <w:rFonts w:ascii="Times New Roman" w:hAnsi="Times New Roman" w:cs="Times New Roman"/>
        </w:rPr>
        <w:t xml:space="preserve">, e-kapaliny. </w:t>
      </w:r>
      <w:proofErr w:type="spellStart"/>
      <w:r w:rsidRPr="00586C54">
        <w:rPr>
          <w:rFonts w:ascii="Times New Roman" w:hAnsi="Times New Roman" w:cs="Times New Roman"/>
        </w:rPr>
        <w:t>IndustriAll</w:t>
      </w:r>
      <w:proofErr w:type="spellEnd"/>
      <w:r w:rsidRPr="00586C54">
        <w:rPr>
          <w:rFonts w:ascii="Times New Roman" w:hAnsi="Times New Roman" w:cs="Times New Roman"/>
        </w:rPr>
        <w:t xml:space="preserve"> </w:t>
      </w:r>
      <w:proofErr w:type="spellStart"/>
      <w:r w:rsidRPr="00586C54">
        <w:rPr>
          <w:rFonts w:ascii="Times New Roman" w:hAnsi="Times New Roman" w:cs="Times New Roman"/>
        </w:rPr>
        <w:t>Europe</w:t>
      </w:r>
      <w:proofErr w:type="spellEnd"/>
      <w:r w:rsidRPr="00586C54">
        <w:rPr>
          <w:rFonts w:ascii="Times New Roman" w:hAnsi="Times New Roman" w:cs="Times New Roman"/>
        </w:rPr>
        <w:t xml:space="preserve"> podporuje zásadu „technologické neutrality“ a zdůrazňuje potřebu udržovat v kombinaci mobility všechny pohonné jednotky, které respektují normy CO2 a emise v souladu s cíli </w:t>
      </w:r>
      <w:proofErr w:type="gramStart"/>
      <w:r w:rsidRPr="00586C54">
        <w:rPr>
          <w:rFonts w:ascii="Times New Roman" w:hAnsi="Times New Roman" w:cs="Times New Roman"/>
        </w:rPr>
        <w:t>Zelené</w:t>
      </w:r>
      <w:proofErr w:type="gramEnd"/>
      <w:r w:rsidRPr="00586C54">
        <w:rPr>
          <w:rFonts w:ascii="Times New Roman" w:hAnsi="Times New Roman" w:cs="Times New Roman"/>
        </w:rPr>
        <w:t xml:space="preserve"> dohody.</w:t>
      </w:r>
    </w:p>
    <w:p w14:paraId="7F0502C4" w14:textId="77777777" w:rsidR="00670D87" w:rsidRPr="00586C54" w:rsidRDefault="00670D87" w:rsidP="00670D87">
      <w:pPr>
        <w:jc w:val="both"/>
        <w:rPr>
          <w:rFonts w:ascii="Times New Roman" w:hAnsi="Times New Roman" w:cs="Times New Roman"/>
        </w:rPr>
      </w:pPr>
    </w:p>
    <w:p w14:paraId="7E48053F"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 xml:space="preserve">Digitální transformace dopravy vyžaduje také průmyslovou strategii zahrnující zařízení, infrastruktury a data. Digitální a elektronický průmyslový ekosystém musí vést k </w:t>
      </w:r>
      <w:proofErr w:type="gramStart"/>
      <w:r w:rsidRPr="00586C54">
        <w:rPr>
          <w:rFonts w:ascii="Times New Roman" w:hAnsi="Times New Roman" w:cs="Times New Roman"/>
        </w:rPr>
        <w:t>rozvoji - v</w:t>
      </w:r>
      <w:proofErr w:type="gramEnd"/>
      <w:r w:rsidRPr="00586C54">
        <w:rPr>
          <w:rFonts w:ascii="Times New Roman" w:hAnsi="Times New Roman" w:cs="Times New Roman"/>
        </w:rPr>
        <w:t xml:space="preserve"> Evropě - technologií a infrastruktur, které jsou nezbytné pro digitální dopravu. Evropská průmyslová strategie v oblasti dopravy musí zajistit dodávky klíčových elektronických součástek, jako jsou polovodiče. EU musí rozvíjet své domácí dodavatelské řetězce pro klíčové elektronické součástky. Druhý IPCEI pro mikroelektroniku a ambiciózní cíle formulované pro „digitální dekádu“ jsou jistě prvním krokem správným směrem, ale by mělo být neprodleně zdůvodněno. To musí být klíčovým strategickým cílem politiky EU v oblasti průmyslu a právních předpisů EU v oblasti hospodářské soutěže. Evropským průmyslovým hráčům musí být umožněno a motivováno ke spolupráci při vývoji evropského elektronického ekosystému. Vzhledem k času potřebnému k rozvoji evropské výroby elektronických zařízení musí Evropa také využít svých obchodních dohod k diverzifikaci dodávek elektronických zařízení.</w:t>
      </w:r>
    </w:p>
    <w:p w14:paraId="2BFE3F65" w14:textId="77777777" w:rsidR="00670D87" w:rsidRPr="00586C54" w:rsidRDefault="00670D87" w:rsidP="00670D87">
      <w:pPr>
        <w:jc w:val="both"/>
        <w:rPr>
          <w:rFonts w:ascii="Times New Roman" w:hAnsi="Times New Roman" w:cs="Times New Roman"/>
        </w:rPr>
      </w:pPr>
    </w:p>
    <w:p w14:paraId="53D2C2C2"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Evropská průmyslová strategie pro zboží a zařízení související s dopravou musí podporovat zásady oběhového hospodářství. Je zapotřebí úsilí v oblasti výzkumu a vývoje pro ekologický design a recyklaci, renovaci a opětovné použití. Důležité projekty společného evropského zájmu (s názvem IPCEI) by mohly toto úsilí adekvátně podpořit. Toto úsilí by mělo jít ruku v ruce s iniciativami školení v oblasti ekologického designu a recyklace zařízení, s aktivním zapojením sociálních partnerů a ve spolupráci s jakýmikoli vnitrostátními nebo regionálními systémy.</w:t>
      </w:r>
    </w:p>
    <w:p w14:paraId="578667BD" w14:textId="77777777" w:rsidR="00670D87" w:rsidRPr="00586C54" w:rsidRDefault="00670D87" w:rsidP="00670D87">
      <w:pPr>
        <w:jc w:val="both"/>
        <w:rPr>
          <w:rFonts w:ascii="Times New Roman" w:hAnsi="Times New Roman" w:cs="Times New Roman"/>
        </w:rPr>
      </w:pPr>
    </w:p>
    <w:p w14:paraId="5A46A0A4"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lastRenderedPageBreak/>
        <w:t xml:space="preserve">Zásady oběhového hospodářství je třeba uplatnit také ke zvýšení množství druhotných surovin dostupných pro průmysl a ke snížení závislosti na dovozu z EU. Nedávné studie však naznačují, že recyklované materiály budou v adekvátním tržním měřítku až za deset let, kdy životy elektrických automobilů skončí. Proto musíme být realističtí, že primární těžba je zásadní, přinejmenším ve 20. letech 20. století. V důsledku toho musí diverzifikace dodavatelských řetězců a strategie EU v oblasti zelené těžby zajistit bezpečnost dodávek klíčových surovin. Politika EU v oblasti surovin musí být přísně v souladu s cíli udržitelného rozvoje OSN a povinná náležitá péče musí zajistit, aby dodávky zdrojů plně respektovaly lidská práva, včetně práv pracovníků, v regionech dodávajících suroviny. K tomu je třeba využít obchodní politiku EU a dvoustranné obchodní dohody EU. </w:t>
      </w:r>
      <w:proofErr w:type="spellStart"/>
      <w:r w:rsidRPr="00586C54">
        <w:rPr>
          <w:rFonts w:ascii="Times New Roman" w:hAnsi="Times New Roman" w:cs="Times New Roman"/>
        </w:rPr>
        <w:t>IndustriAll</w:t>
      </w:r>
      <w:proofErr w:type="spellEnd"/>
      <w:r w:rsidRPr="00586C54">
        <w:rPr>
          <w:rFonts w:ascii="Times New Roman" w:hAnsi="Times New Roman" w:cs="Times New Roman"/>
        </w:rPr>
        <w:t xml:space="preserve"> </w:t>
      </w:r>
      <w:proofErr w:type="spellStart"/>
      <w:r w:rsidRPr="00586C54">
        <w:rPr>
          <w:rFonts w:ascii="Times New Roman" w:hAnsi="Times New Roman" w:cs="Times New Roman"/>
        </w:rPr>
        <w:t>Europe</w:t>
      </w:r>
      <w:proofErr w:type="spellEnd"/>
      <w:r w:rsidRPr="00586C54">
        <w:rPr>
          <w:rFonts w:ascii="Times New Roman" w:hAnsi="Times New Roman" w:cs="Times New Roman"/>
        </w:rPr>
        <w:t xml:space="preserve"> plně podporuje Evropskou alianci surovin a jako jeden z jejích aktivních členů bude aktivně prosazovat výše uvedené principy. Stejné zásady by měly platit pro dodavatelské řetězce komponentů.</w:t>
      </w:r>
    </w:p>
    <w:p w14:paraId="628D8B64" w14:textId="77777777" w:rsidR="00670D87" w:rsidRPr="00586C54" w:rsidRDefault="00670D87" w:rsidP="00670D87">
      <w:pPr>
        <w:jc w:val="both"/>
        <w:rPr>
          <w:rFonts w:ascii="Times New Roman" w:hAnsi="Times New Roman" w:cs="Times New Roman"/>
        </w:rPr>
      </w:pPr>
    </w:p>
    <w:p w14:paraId="6B297708"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Technologická neutralita neznamená dát průmyslu prázdný šek a nevylučuje přísnou kontrolu výkonu ani stanovení priorit z hlediska veřejného financování. Svou roli musí hrát rozvoj obnovitelných a nízkouhlíkových paliv, ale musí být striktně v souladu s cíli udržitelného rozvoje OSN, aby nedocházelo k situaci, kdy by vedly ke zhoršení stávajících problémů, jako je odlesňování, ztráta biologické rozmanitosti. nebo zabírání půdy na globálním Jihu.</w:t>
      </w:r>
    </w:p>
    <w:p w14:paraId="30C869D7" w14:textId="77777777" w:rsidR="00670D87" w:rsidRPr="00586C54" w:rsidRDefault="00670D87" w:rsidP="00670D87">
      <w:pPr>
        <w:jc w:val="both"/>
        <w:rPr>
          <w:rFonts w:ascii="Times New Roman" w:hAnsi="Times New Roman" w:cs="Times New Roman"/>
        </w:rPr>
      </w:pPr>
    </w:p>
    <w:p w14:paraId="1391215E"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EU a její členské státy budou hrát aktivní roli při stimulaci obnovy flotily a vytváření vedoucích trhů pro klimatická neutrální dopravní zařízení. Je třeba přispět a harmonizovat prémie, daňové úlevy a šrotovací programy, aby motivovaly spotřebitele k pořízení vozidel s nulovými a nízkými emisemi. Veřejnost zadávání veřejných zakázek na obnovu veřejného vozového parku by se rovněž mělo zaměřit na podporu výroby těchto vozidel, zatímco postupné zavádění emisních norem pro vozové parky společností by také dramaticky rozšířilo jejich trh. Další opatření, jako jsou přednostní pruhy, výjimky z mýtného nebo vyhrazená parkovací místa, kde je to možné, by také mohla lidi povzbudit k pořízení těchto vozidel.</w:t>
      </w:r>
    </w:p>
    <w:p w14:paraId="41B9D8D5" w14:textId="77777777" w:rsidR="00670D87" w:rsidRPr="00586C54" w:rsidRDefault="00670D87" w:rsidP="00670D87">
      <w:pPr>
        <w:jc w:val="both"/>
        <w:rPr>
          <w:rFonts w:ascii="Times New Roman" w:hAnsi="Times New Roman" w:cs="Times New Roman"/>
        </w:rPr>
      </w:pPr>
    </w:p>
    <w:p w14:paraId="11C03A60"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Aby bylo zajištěno, že související evropské průmyslové hodnotové řetězce budou páteří transformace dopravy v EU, musí strategie EU v oblasti mobility jít ruku v ruce s posílením průmyslové základny EU. Máme know-how a kvalifikovanou pracovní sílu k výrobě vozidel, lodí, vlaků a letadel zítřka a také k výrobě technologií potřebných pro účinnější správu dopravního systému. To je také ten správný okamžik k prokázání, že „strategická autonomie“ je více než módní výstřelek EU.</w:t>
      </w:r>
    </w:p>
    <w:p w14:paraId="168C23EF" w14:textId="77777777" w:rsidR="00670D87" w:rsidRPr="00586C54" w:rsidRDefault="00670D87" w:rsidP="00670D87">
      <w:pPr>
        <w:jc w:val="both"/>
        <w:rPr>
          <w:rFonts w:ascii="Times New Roman" w:hAnsi="Times New Roman" w:cs="Times New Roman"/>
        </w:rPr>
      </w:pPr>
    </w:p>
    <w:p w14:paraId="194B3E00" w14:textId="77777777" w:rsidR="00670D87" w:rsidRPr="00586C54" w:rsidRDefault="00670D87" w:rsidP="00670D87">
      <w:pPr>
        <w:jc w:val="both"/>
        <w:rPr>
          <w:rFonts w:ascii="Times New Roman" w:hAnsi="Times New Roman" w:cs="Times New Roman"/>
          <w:b/>
          <w:bCs/>
        </w:rPr>
      </w:pPr>
      <w:r w:rsidRPr="00586C54">
        <w:rPr>
          <w:rFonts w:ascii="Times New Roman" w:hAnsi="Times New Roman" w:cs="Times New Roman"/>
          <w:b/>
          <w:bCs/>
        </w:rPr>
        <w:t>4. Zapojení odborových svazů z výrobního průmyslu pro spravedlivou transformaci v dopravě</w:t>
      </w:r>
    </w:p>
    <w:p w14:paraId="769645FC" w14:textId="77777777" w:rsidR="00670D87" w:rsidRPr="00586C54" w:rsidRDefault="00670D87" w:rsidP="00670D87">
      <w:pPr>
        <w:jc w:val="both"/>
        <w:rPr>
          <w:rFonts w:ascii="Times New Roman" w:hAnsi="Times New Roman" w:cs="Times New Roman"/>
        </w:rPr>
      </w:pPr>
    </w:p>
    <w:p w14:paraId="7E07D964"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Dvojité digitální a klimatické přechody budou mít za následek velké změny v dopravě v celém hodnotovém řetězci. Inovace sníží emise z CO2 a dalších znečišťujících látek prostřednictvím zdokonalení stávajících technologií, zatímco zavádění nových technologií bude mít za následek hlubší změny. Tyto technologické změny nejsou pro pracovníky „neutrální“. Některé z nich povedou k masivnímu úbytku pracovních míst v konkrétních odvětvích nebo v části hodnotových řetězců. Technologie také ovlivňují požadované profily dovedností v mnoha odvětvích a jejich rychlé zavedení by mohlo způsobit výzvy pro některé kategorie pracovníků (osoby s nižší kvalifikací, starší pracovníci, prozatímní zaměstnanci).</w:t>
      </w:r>
    </w:p>
    <w:p w14:paraId="0E2BD37B" w14:textId="77777777" w:rsidR="00670D87" w:rsidRPr="00586C54" w:rsidRDefault="00670D87" w:rsidP="00670D87">
      <w:pPr>
        <w:jc w:val="both"/>
        <w:rPr>
          <w:rFonts w:ascii="Times New Roman" w:hAnsi="Times New Roman" w:cs="Times New Roman"/>
        </w:rPr>
      </w:pPr>
    </w:p>
    <w:p w14:paraId="425CDCCA"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 xml:space="preserve">Kromě technologické transformace odvětví dopravy prosazují politiky modální posun prostřednictvím daní, územního plánování a rozvoje infrastruktury. Tento přechod na jiný druh dopravy by měl vést k čistšímu dopravnímu systému, kde porostou méně znečišťující druhy </w:t>
      </w:r>
      <w:r w:rsidRPr="00586C54">
        <w:rPr>
          <w:rFonts w:ascii="Times New Roman" w:hAnsi="Times New Roman" w:cs="Times New Roman"/>
        </w:rPr>
        <w:lastRenderedPageBreak/>
        <w:t>dopravy, zatímco odvětví s obtížnější dekarbonizací se zmenší. Navzdory převládající nejistotě ohledně jejich tempa a velikosti tyto změny v mnoha ohledech přetvoří trh práce, přičemž v druhém případě dojde k propouštění a v druhém případě k vytvoření pracovních míst.</w:t>
      </w:r>
    </w:p>
    <w:p w14:paraId="7F8F19AE" w14:textId="77777777" w:rsidR="00670D87" w:rsidRPr="00586C54" w:rsidRDefault="00670D87" w:rsidP="00670D87">
      <w:pPr>
        <w:jc w:val="both"/>
        <w:rPr>
          <w:rFonts w:ascii="Times New Roman" w:hAnsi="Times New Roman" w:cs="Times New Roman"/>
        </w:rPr>
      </w:pPr>
    </w:p>
    <w:p w14:paraId="2FD9226C"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Změny, které nás čekají, jsou příliš hluboké a rychlé, než aby byly ponechány pouze na trhu. Do řízení přechodu v dopravě musí být zapojeny odbory ze všech dotčených odvětví. Jde také o vytvoření podmínek pro transformaci dopravy. Na národní nebo regionální úrovni umožňuje předvídání a sociální dialog identifikovat možné problémy v rané fázi (nedostatek dovedností, nedostatek infrastruktury). Na úrovni společnosti nebo na místě vyžaduje úspěšná transformace plánování, předvídání a atmosféru důvěry mezi zaměstnavateli a zaměstnanci. Dobré průmyslové vztahy napříč celým dopravním systémem, včetně příslušných výrobních odvětví, jsou nezbytnou podmínkou pro zvládnutí jeho rychlé transformace.</w:t>
      </w:r>
    </w:p>
    <w:p w14:paraId="380A469A" w14:textId="77777777" w:rsidR="00670D87" w:rsidRPr="00586C54" w:rsidRDefault="00670D87" w:rsidP="00670D87">
      <w:pPr>
        <w:jc w:val="both"/>
        <w:rPr>
          <w:rFonts w:ascii="Times New Roman" w:hAnsi="Times New Roman" w:cs="Times New Roman"/>
        </w:rPr>
      </w:pPr>
    </w:p>
    <w:p w14:paraId="7D4352B7"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Bude třeba zvládnout přechod k ekologickému a digitálnímu dopravnímu systému. Na národní a regionální úrovni to vyžaduje jasnější mapování možných důsledků pro zaměstnanost a plány na jejich předvídání prostřednictvím průmyslové diverzifikace a vzdělávacích programů. Stávající fondy na evropské úrovni (Evropský fond pro regionální rozvoj, Evropský sociální fond, Fond spravedlivého přechodu, Evropský fond pro přizpůsobení se globalizaci) musí být použity na podporu pracovníků a komunit zasažených transformací dopravního systému. Strategie udržitelné mobility musí také znamenat sociální udržitelnost pro pracovníky a Evropská komise musí zintenzivnit své úsilí o lepší podporu ochrany klesajících pracovních míst v odvětvích souvisejících s dopravou. Rovněž je třeba zabránit konkurenci mezi pracovníky z různých evropských zemí.</w:t>
      </w:r>
    </w:p>
    <w:p w14:paraId="1AC92F58" w14:textId="77777777" w:rsidR="00670D87" w:rsidRPr="00586C54" w:rsidRDefault="00670D87" w:rsidP="00670D87">
      <w:pPr>
        <w:jc w:val="both"/>
        <w:rPr>
          <w:rFonts w:ascii="Times New Roman" w:hAnsi="Times New Roman" w:cs="Times New Roman"/>
        </w:rPr>
      </w:pPr>
    </w:p>
    <w:p w14:paraId="3329F5FF" w14:textId="77777777" w:rsidR="00670D87" w:rsidRPr="00586C54" w:rsidRDefault="00670D87" w:rsidP="00670D87">
      <w:pPr>
        <w:jc w:val="both"/>
        <w:rPr>
          <w:rFonts w:ascii="Times New Roman" w:hAnsi="Times New Roman" w:cs="Times New Roman"/>
        </w:rPr>
      </w:pPr>
      <w:proofErr w:type="spellStart"/>
      <w:r w:rsidRPr="00586C54">
        <w:rPr>
          <w:rFonts w:ascii="Times New Roman" w:hAnsi="Times New Roman" w:cs="Times New Roman"/>
        </w:rPr>
        <w:t>IndustriAll</w:t>
      </w:r>
      <w:proofErr w:type="spellEnd"/>
      <w:r w:rsidRPr="00586C54">
        <w:rPr>
          <w:rFonts w:ascii="Times New Roman" w:hAnsi="Times New Roman" w:cs="Times New Roman"/>
        </w:rPr>
        <w:t xml:space="preserve"> </w:t>
      </w:r>
      <w:proofErr w:type="spellStart"/>
      <w:r w:rsidRPr="00586C54">
        <w:rPr>
          <w:rFonts w:ascii="Times New Roman" w:hAnsi="Times New Roman" w:cs="Times New Roman"/>
        </w:rPr>
        <w:t>Europe</w:t>
      </w:r>
      <w:proofErr w:type="spellEnd"/>
      <w:r w:rsidRPr="00586C54">
        <w:rPr>
          <w:rFonts w:ascii="Times New Roman" w:hAnsi="Times New Roman" w:cs="Times New Roman"/>
        </w:rPr>
        <w:t xml:space="preserve"> uvítala Pakt pro dovednosti zahájený Evropskou komisí pro automobilový průmysl a letectví a aktivně se podílí na souvisejících iniciativách. Školení pracovníků, jak je rekvalifikovat nebo zdokonalit, je nesmírně důležité doprovázet pracovníky transformací průmyslového odvětví. Spravedlivý přechod, který pracovníci chtějí, je však mnohem širší a chtějí se vyjádřit při vytváření průmyslové strategie bohaté na pracovní místa, aby se vyrovnaly s digitálními a zelenými přechody.</w:t>
      </w:r>
    </w:p>
    <w:p w14:paraId="6BCF05DC" w14:textId="77777777" w:rsidR="00670D87" w:rsidRPr="00586C54" w:rsidRDefault="00670D87" w:rsidP="00670D87">
      <w:pPr>
        <w:jc w:val="both"/>
        <w:rPr>
          <w:rFonts w:ascii="Times New Roman" w:hAnsi="Times New Roman" w:cs="Times New Roman"/>
        </w:rPr>
      </w:pPr>
    </w:p>
    <w:p w14:paraId="0020BB0B" w14:textId="77777777" w:rsidR="00670D87" w:rsidRPr="00586C54" w:rsidRDefault="00670D87" w:rsidP="00670D87">
      <w:pPr>
        <w:jc w:val="both"/>
        <w:rPr>
          <w:rFonts w:ascii="Times New Roman" w:hAnsi="Times New Roman" w:cs="Times New Roman"/>
          <w:b/>
          <w:bCs/>
        </w:rPr>
      </w:pPr>
      <w:r w:rsidRPr="00586C54">
        <w:rPr>
          <w:rFonts w:ascii="Times New Roman" w:hAnsi="Times New Roman" w:cs="Times New Roman"/>
          <w:b/>
          <w:bCs/>
        </w:rPr>
        <w:t>5. Za sociálně spravedlivou udržitelnou mobilitu</w:t>
      </w:r>
    </w:p>
    <w:p w14:paraId="02B43AB0" w14:textId="77777777" w:rsidR="00670D87" w:rsidRPr="00586C54" w:rsidRDefault="00670D87" w:rsidP="00670D87">
      <w:pPr>
        <w:jc w:val="both"/>
        <w:rPr>
          <w:rFonts w:ascii="Times New Roman" w:hAnsi="Times New Roman" w:cs="Times New Roman"/>
        </w:rPr>
      </w:pPr>
    </w:p>
    <w:p w14:paraId="573C336D"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Mobilita je také klíčovou podmínkou sociálního začlenění a musí zůstat cenově dostupná pro všechny. Sociálně spravedlivá a udržitelná mobilita vyžaduje další podporu dobré veřejné dopravy i bezpečných infrastruktur pro cyklisty. To jsou klíčové cíle pro zelenou dohodu a pro strategii obnovy. Stejně tak si iniciativy inteligentní mobility, jako je sdílení automobilů a sdílení vozidel, zaslouží větší pozornost ze strany veřejných orgánů.</w:t>
      </w:r>
    </w:p>
    <w:p w14:paraId="3B8DBB5F" w14:textId="77777777" w:rsidR="00670D87" w:rsidRPr="00586C54" w:rsidRDefault="00670D87" w:rsidP="00670D87">
      <w:pPr>
        <w:jc w:val="both"/>
        <w:rPr>
          <w:rFonts w:ascii="Times New Roman" w:hAnsi="Times New Roman" w:cs="Times New Roman"/>
        </w:rPr>
      </w:pPr>
    </w:p>
    <w:p w14:paraId="4759FCCF"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 xml:space="preserve">Vzhledem k jeho významu v současných vzorcích mobility musí silniční doprava zůstat cenově dostupná. </w:t>
      </w:r>
      <w:proofErr w:type="spellStart"/>
      <w:r w:rsidRPr="00586C54">
        <w:rPr>
          <w:rFonts w:ascii="Times New Roman" w:hAnsi="Times New Roman" w:cs="Times New Roman"/>
        </w:rPr>
        <w:t>IndustriAll</w:t>
      </w:r>
      <w:proofErr w:type="spellEnd"/>
      <w:r w:rsidRPr="00586C54">
        <w:rPr>
          <w:rFonts w:ascii="Times New Roman" w:hAnsi="Times New Roman" w:cs="Times New Roman"/>
        </w:rPr>
        <w:t xml:space="preserve"> </w:t>
      </w:r>
      <w:proofErr w:type="spellStart"/>
      <w:r w:rsidRPr="00586C54">
        <w:rPr>
          <w:rFonts w:ascii="Times New Roman" w:hAnsi="Times New Roman" w:cs="Times New Roman"/>
        </w:rPr>
        <w:t>Europe</w:t>
      </w:r>
      <w:proofErr w:type="spellEnd"/>
      <w:r w:rsidRPr="00586C54">
        <w:rPr>
          <w:rFonts w:ascii="Times New Roman" w:hAnsi="Times New Roman" w:cs="Times New Roman"/>
        </w:rPr>
        <w:t xml:space="preserve"> není pro rozšíření systému EU pro obchodování s emisemi (</w:t>
      </w:r>
      <w:proofErr w:type="gramStart"/>
      <w:r w:rsidRPr="00586C54">
        <w:rPr>
          <w:rFonts w:ascii="Times New Roman" w:hAnsi="Times New Roman" w:cs="Times New Roman"/>
        </w:rPr>
        <w:t>ETS-</w:t>
      </w:r>
      <w:r w:rsidRPr="00586C54">
        <w:rPr>
          <w:rFonts w:ascii="Times New Roman" w:hAnsi="Times New Roman" w:cs="Times New Roman"/>
          <w:color w:val="202124"/>
          <w:shd w:val="clear" w:color="auto" w:fill="FFFFFF"/>
        </w:rPr>
        <w:t xml:space="preserve"> </w:t>
      </w:r>
      <w:r w:rsidRPr="00586C54">
        <w:rPr>
          <w:rFonts w:ascii="Times New Roman" w:hAnsi="Times New Roman" w:cs="Times New Roman"/>
        </w:rPr>
        <w:t>Emisní</w:t>
      </w:r>
      <w:proofErr w:type="gramEnd"/>
      <w:r w:rsidRPr="00586C54">
        <w:rPr>
          <w:rFonts w:ascii="Times New Roman" w:hAnsi="Times New Roman" w:cs="Times New Roman"/>
        </w:rPr>
        <w:t> </w:t>
      </w:r>
      <w:r w:rsidRPr="00586C54">
        <w:rPr>
          <w:rFonts w:ascii="Times New Roman" w:hAnsi="Times New Roman" w:cs="Times New Roman"/>
          <w:b/>
          <w:bCs/>
        </w:rPr>
        <w:t>obchodování</w:t>
      </w:r>
      <w:r w:rsidRPr="00586C54">
        <w:rPr>
          <w:rFonts w:ascii="Times New Roman" w:hAnsi="Times New Roman" w:cs="Times New Roman"/>
        </w:rPr>
        <w:t> je nástroj motivující ke snižování emisí skleníkových plynů co nejefektivnějším způsobem. Subjekty, které mají možnost redukovat </w:t>
      </w:r>
      <w:r w:rsidRPr="00586C54">
        <w:rPr>
          <w:rFonts w:ascii="Times New Roman" w:hAnsi="Times New Roman" w:cs="Times New Roman"/>
          <w:b/>
          <w:bCs/>
        </w:rPr>
        <w:t>emise</w:t>
      </w:r>
      <w:r w:rsidRPr="00586C54">
        <w:rPr>
          <w:rFonts w:ascii="Times New Roman" w:hAnsi="Times New Roman" w:cs="Times New Roman"/>
        </w:rPr>
        <w:t xml:space="preserve"> s nižšími náklady, mohou uspořené emisní povolenky nebo jiné emisní kredity prodat těm, u nichž by taková redukce byla nákladnější) na silniční dopravu, jak navrhuje Evropská komise. Stanovení cen uhlíku může poskytnout další pobídku pro silniční dopravu bez emisí uhlíku, ale EU ETS není nejlepším prostředkem k dosažení tohoto cíle. Zahrnutí silniční dopravy do ETS by mohlo mít distribuční důsledky škodlivé pro domácnosti s nízkými příjmy, zejména v nejchudších regionech Evropy. I samostatný systém ETS pro silniční dopravu by vyžadoval regionální diferenciaci, protože ceny uhlíku nemohou být stejné v celé EU vzhledem k různým kontextům </w:t>
      </w:r>
      <w:r w:rsidRPr="00586C54">
        <w:rPr>
          <w:rFonts w:ascii="Times New Roman" w:hAnsi="Times New Roman" w:cs="Times New Roman"/>
        </w:rPr>
        <w:lastRenderedPageBreak/>
        <w:t xml:space="preserve">a úrovni prosperity. Cenově dostupná mobilita je klíčovou podmínkou sociální soudržnosti. Pro společnost </w:t>
      </w:r>
      <w:proofErr w:type="spellStart"/>
      <w:r w:rsidRPr="00586C54">
        <w:rPr>
          <w:rFonts w:ascii="Times New Roman" w:hAnsi="Times New Roman" w:cs="Times New Roman"/>
        </w:rPr>
        <w:t>industriAll</w:t>
      </w:r>
      <w:proofErr w:type="spellEnd"/>
      <w:r w:rsidRPr="00586C54">
        <w:rPr>
          <w:rFonts w:ascii="Times New Roman" w:hAnsi="Times New Roman" w:cs="Times New Roman"/>
        </w:rPr>
        <w:t xml:space="preserve"> </w:t>
      </w:r>
      <w:proofErr w:type="spellStart"/>
      <w:r w:rsidRPr="00586C54">
        <w:rPr>
          <w:rFonts w:ascii="Times New Roman" w:hAnsi="Times New Roman" w:cs="Times New Roman"/>
        </w:rPr>
        <w:t>Europe</w:t>
      </w:r>
      <w:proofErr w:type="spellEnd"/>
      <w:r w:rsidRPr="00586C54">
        <w:rPr>
          <w:rFonts w:ascii="Times New Roman" w:hAnsi="Times New Roman" w:cs="Times New Roman"/>
        </w:rPr>
        <w:t xml:space="preserve"> nemůže zelená dohoda vést k rozdělení energie a mobility mezi společnost.</w:t>
      </w:r>
    </w:p>
    <w:p w14:paraId="62446E1C" w14:textId="77777777" w:rsidR="00670D87" w:rsidRPr="00586C54" w:rsidRDefault="00670D87" w:rsidP="00670D87">
      <w:pPr>
        <w:jc w:val="both"/>
        <w:rPr>
          <w:rFonts w:ascii="Times New Roman" w:hAnsi="Times New Roman" w:cs="Times New Roman"/>
        </w:rPr>
      </w:pPr>
    </w:p>
    <w:p w14:paraId="76410B00"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Všechny tyto důvody obhajují opuštění vnitrostátních orgánů, aby se ujaly vedení v oblasti stanovení cen uhlíku v silniční dopravě. Směrnice o zdanění energie může poskytnout základ pro minimální zdanění uhlíku v celé Evropě, jakož i pro nezbytnou koordinaci, aby se zabránilo postupům, které by poškodily dobře fungující vnitřní trh EU. Aby však bylo možné tyto změny přijmout, musí být zakořeněny ve spravedlivém daňovém systému, který účinně organizuje rozdělování bohatství mezi společnost. Zdanění dopravy navíc nemůže narušit všeobecný přístup k mobilitě a lidé žijící ve venkovských a odlehlých regionech nemohou být penalizováni zdaněním dopravy.</w:t>
      </w:r>
    </w:p>
    <w:p w14:paraId="384FEF3E" w14:textId="77777777" w:rsidR="00670D87" w:rsidRPr="00586C54" w:rsidRDefault="00670D87" w:rsidP="00670D87">
      <w:pPr>
        <w:jc w:val="both"/>
        <w:rPr>
          <w:rFonts w:ascii="Times New Roman" w:hAnsi="Times New Roman" w:cs="Times New Roman"/>
        </w:rPr>
      </w:pPr>
    </w:p>
    <w:p w14:paraId="6D99FB42"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Doprava je také klíčovou podmínkou sociálního začlenění a dobrých životních podmínek v práci. Nedostatek veřejné dopravy je hlavní překážkou v přístupu na trh práce pro ty, kteří nemají přístup k individuální mobilitě. Stejně tak je mnoho pracovníků uvězněno ve velmi složitých vzorcích denní mobility kvůli atypické pracovní době a / nebo častým změnám zaměstnání (dočasní pracovníci). Dlouhá denní doba dojíždění vystavuje tyto pracovníky dalšímu stresu a narušuje jejich rovnováhu mezi pracovním a soukromým životem. Tato rizika jsou nerovnoměrně rozložena mezi příjmové kategorie a pohlaví. Nejistí pracovníci s nízkými mzdami, svobodné ženy s dětmi jsou často nejvíce vystaveny vyčerpávající každodenní mobilitě.</w:t>
      </w:r>
    </w:p>
    <w:p w14:paraId="4748F5BB" w14:textId="77777777" w:rsidR="00670D87" w:rsidRPr="00586C54" w:rsidRDefault="00670D87" w:rsidP="00670D87">
      <w:pPr>
        <w:jc w:val="both"/>
        <w:rPr>
          <w:rFonts w:ascii="Times New Roman" w:hAnsi="Times New Roman" w:cs="Times New Roman"/>
        </w:rPr>
      </w:pPr>
    </w:p>
    <w:p w14:paraId="5507F05B"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Přístup k individuální mobilitě rovněž ztělesňuje poválečný „sociální kompromis“ a sdílenou výhodu, která umožnila mnoha pracovníkům získat přístup ke standardům důstojného života. Nezbytná dekarbonizace dopravního systému nemůže být charakteristickým znakem společnosti založené na hlubokých nerovnostech a sociálním vyloučení. To platí zejména nyní, když jsme uprostřed nejhoršího hospodářského útlumu od druhé světové války, přičemž nejisté pracovníky, mládež a ženy patří mezi nejvíce vystavené sociálním důsledkům pandemie.</w:t>
      </w:r>
    </w:p>
    <w:p w14:paraId="2C9CC2B4" w14:textId="77777777" w:rsidR="00670D87" w:rsidRPr="00586C54" w:rsidRDefault="00670D87" w:rsidP="00670D87">
      <w:pPr>
        <w:jc w:val="both"/>
        <w:rPr>
          <w:rFonts w:ascii="Times New Roman" w:hAnsi="Times New Roman" w:cs="Times New Roman"/>
        </w:rPr>
      </w:pPr>
    </w:p>
    <w:p w14:paraId="14E63F98" w14:textId="77777777" w:rsidR="00670D87" w:rsidRPr="00586C54" w:rsidRDefault="00670D87" w:rsidP="00670D87">
      <w:pPr>
        <w:jc w:val="both"/>
        <w:rPr>
          <w:rFonts w:ascii="Times New Roman" w:hAnsi="Times New Roman" w:cs="Times New Roman"/>
          <w:b/>
          <w:bCs/>
        </w:rPr>
      </w:pPr>
      <w:r w:rsidRPr="00586C54">
        <w:rPr>
          <w:rFonts w:ascii="Times New Roman" w:hAnsi="Times New Roman" w:cs="Times New Roman"/>
          <w:b/>
          <w:bCs/>
        </w:rPr>
        <w:t>6. Potřeba agendy spravedlivého obchodu</w:t>
      </w:r>
    </w:p>
    <w:p w14:paraId="602279A4" w14:textId="77777777" w:rsidR="00670D87" w:rsidRPr="00586C54" w:rsidRDefault="00670D87" w:rsidP="00670D87">
      <w:pPr>
        <w:jc w:val="both"/>
        <w:rPr>
          <w:rFonts w:ascii="Times New Roman" w:hAnsi="Times New Roman" w:cs="Times New Roman"/>
        </w:rPr>
      </w:pPr>
    </w:p>
    <w:p w14:paraId="25A17719" w14:textId="77777777" w:rsidR="00670D87" w:rsidRPr="00586C54" w:rsidRDefault="00670D87" w:rsidP="00670D87">
      <w:pPr>
        <w:jc w:val="both"/>
        <w:rPr>
          <w:rFonts w:ascii="Times New Roman" w:hAnsi="Times New Roman" w:cs="Times New Roman"/>
        </w:rPr>
      </w:pPr>
      <w:r w:rsidRPr="00586C54">
        <w:rPr>
          <w:rFonts w:ascii="Times New Roman" w:hAnsi="Times New Roman" w:cs="Times New Roman"/>
        </w:rPr>
        <w:t>Letectví a kosmonautika, stavba lodí, automobilový průmysl a železnice jsou všechna odvětví, ve kterých panuje tvrdá konkurence. Průmyslová odvětví EU soutěží na evropských a světových trzích se zahraničními společnostmi. Pokud má mnoho evropských společností vedoucí postavení na trhu a v oblasti technologií, musí také bojovat s praktikami, které narušují spravedlivou hospodářskou soutěž. Překážky v přístupu na zahraniční trhy (povinné převody technologií, uzavřené veřejné trhy, povinné společné podniky), zahraniční společnosti získávající dotace od své vlády, státní podniky jsou praktiky, které podkopávají konkurenceschopnost evropského průmyslu spojeného s dopravou. Tuto situaci musí řešit obchodní a investiční politika EU. Přesněji řečeno, dohoda o investicích mezi EU a Čínou, jakož i iniciativa oznámená v bílé knize o zahraničních dotacích, musí vést k mnohem rovnějšímu přístupu na trhy.</w:t>
      </w:r>
    </w:p>
    <w:p w14:paraId="3E62D0D9" w14:textId="77777777" w:rsidR="00670D87" w:rsidRPr="00586C54" w:rsidRDefault="00670D87" w:rsidP="00670D87">
      <w:pPr>
        <w:jc w:val="both"/>
        <w:rPr>
          <w:rFonts w:ascii="Times New Roman" w:hAnsi="Times New Roman" w:cs="Times New Roman"/>
        </w:rPr>
      </w:pPr>
    </w:p>
    <w:p w14:paraId="6FF2FBB5" w14:textId="77777777" w:rsidR="00670D87" w:rsidRDefault="00670D87" w:rsidP="00670D87">
      <w:pPr>
        <w:jc w:val="both"/>
        <w:rPr>
          <w:rFonts w:ascii="Times New Roman" w:hAnsi="Times New Roman" w:cs="Times New Roman"/>
        </w:rPr>
      </w:pPr>
      <w:r w:rsidRPr="00586C54">
        <w:rPr>
          <w:rFonts w:ascii="Times New Roman" w:hAnsi="Times New Roman" w:cs="Times New Roman"/>
        </w:rPr>
        <w:t xml:space="preserve">Stejně tak je potřeba „otevřené strategické autonomie“ zvláště viditelná ve výrobních odvětvích souvisejících s dopravou. Přerušení mnoha montážních linek pro automobily během první fáze pandemie bylo způsobeno opatřeními pro blokování v Číně a jejich důsledky pro určitou část dodavatelského řetězce. V poslední době zastavil nedostatek polovodičů výrobu na mnoha místech v Evropě. Obchodní politika EU musí pomoci tím, že usnadní diverzifikaci zdrojů </w:t>
      </w:r>
      <w:r w:rsidRPr="00586C54">
        <w:rPr>
          <w:rFonts w:ascii="Times New Roman" w:hAnsi="Times New Roman" w:cs="Times New Roman"/>
        </w:rPr>
        <w:lastRenderedPageBreak/>
        <w:t>dodávek. Musí být zpochybněna a revidována také politika pronásledování velkých společností vedoucí k oslabení evropských dodavatelů, jakož i strategie „nulového stavu zásob“.</w:t>
      </w:r>
    </w:p>
    <w:p w14:paraId="57AF37A7" w14:textId="77777777" w:rsidR="00670D87" w:rsidRDefault="00670D87" w:rsidP="00670D87">
      <w:pPr>
        <w:jc w:val="both"/>
        <w:rPr>
          <w:rFonts w:ascii="Times New Roman" w:hAnsi="Times New Roman" w:cs="Times New Roman"/>
        </w:rPr>
      </w:pPr>
    </w:p>
    <w:p w14:paraId="77F6E6E5" w14:textId="77777777" w:rsidR="00670D87" w:rsidRDefault="00670D87" w:rsidP="00670D87">
      <w:pPr>
        <w:jc w:val="both"/>
        <w:rPr>
          <w:rFonts w:ascii="Times New Roman" w:hAnsi="Times New Roman" w:cs="Times New Roman"/>
        </w:rPr>
      </w:pPr>
      <w:r>
        <w:rPr>
          <w:rFonts w:ascii="Times New Roman" w:hAnsi="Times New Roman" w:cs="Times New Roman"/>
        </w:rPr>
        <w:t>___________________________________________________________________________</w:t>
      </w:r>
    </w:p>
    <w:p w14:paraId="5604C83D" w14:textId="77777777" w:rsidR="00670D87" w:rsidRPr="00586C54" w:rsidRDefault="00670D87" w:rsidP="00670D87">
      <w:pPr>
        <w:jc w:val="both"/>
        <w:rPr>
          <w:rFonts w:ascii="Times New Roman" w:hAnsi="Times New Roman" w:cs="Times New Roman"/>
        </w:rPr>
      </w:pPr>
    </w:p>
    <w:p w14:paraId="1082BF7A" w14:textId="77777777" w:rsidR="00670D87" w:rsidRDefault="00670D87" w:rsidP="00670D87">
      <w:pPr>
        <w:jc w:val="both"/>
        <w:rPr>
          <w:rFonts w:ascii="Times New Roman" w:hAnsi="Times New Roman" w:cs="Times New Roman"/>
          <w:b/>
          <w:bCs/>
        </w:rPr>
      </w:pPr>
    </w:p>
    <w:p w14:paraId="02F873B5" w14:textId="77777777" w:rsidR="00670D87" w:rsidRPr="00A973DB" w:rsidRDefault="00670D87" w:rsidP="00670D87">
      <w:pPr>
        <w:jc w:val="center"/>
        <w:rPr>
          <w:rFonts w:ascii="Times New Roman" w:hAnsi="Times New Roman" w:cs="Times New Roman"/>
          <w:b/>
          <w:bCs/>
          <w:sz w:val="36"/>
          <w:szCs w:val="36"/>
        </w:rPr>
      </w:pPr>
    </w:p>
    <w:p w14:paraId="107B85B4" w14:textId="77777777" w:rsidR="00670D87" w:rsidRPr="00A973DB" w:rsidRDefault="00670D87" w:rsidP="00670D87">
      <w:pPr>
        <w:jc w:val="center"/>
        <w:rPr>
          <w:rFonts w:ascii="Times New Roman" w:hAnsi="Times New Roman" w:cs="Times New Roman"/>
          <w:b/>
          <w:bCs/>
          <w:sz w:val="36"/>
          <w:szCs w:val="36"/>
        </w:rPr>
      </w:pPr>
      <w:r w:rsidRPr="00A973DB">
        <w:rPr>
          <w:rFonts w:ascii="Times New Roman" w:hAnsi="Times New Roman" w:cs="Times New Roman"/>
          <w:b/>
          <w:bCs/>
          <w:sz w:val="36"/>
          <w:szCs w:val="36"/>
        </w:rPr>
        <w:t>Zpráva z online schůze automobilové odvětvové sítě ze dne 18. 5. 2020</w:t>
      </w:r>
    </w:p>
    <w:p w14:paraId="6DC4FE8A" w14:textId="77777777" w:rsidR="00670D87" w:rsidRPr="00CF7953" w:rsidRDefault="00670D87" w:rsidP="00670D87">
      <w:pPr>
        <w:rPr>
          <w:rFonts w:ascii="Times New Roman" w:hAnsi="Times New Roman" w:cs="Times New Roman"/>
        </w:rPr>
      </w:pPr>
    </w:p>
    <w:p w14:paraId="3965F529" w14:textId="77777777" w:rsidR="00670D87" w:rsidRPr="00CF7953" w:rsidRDefault="00670D87" w:rsidP="00670D87">
      <w:pPr>
        <w:jc w:val="both"/>
        <w:rPr>
          <w:rFonts w:ascii="Times New Roman" w:hAnsi="Times New Roman" w:cs="Times New Roman"/>
          <w:color w:val="000000" w:themeColor="text1"/>
        </w:rPr>
      </w:pPr>
      <w:r w:rsidRPr="00CF7953">
        <w:rPr>
          <w:rFonts w:ascii="Times New Roman" w:hAnsi="Times New Roman" w:cs="Times New Roman"/>
        </w:rPr>
        <w:t xml:space="preserve">Jednání automobilové odvětvové sítě se zaobíralo </w:t>
      </w:r>
      <w:proofErr w:type="gramStart"/>
      <w:r w:rsidRPr="00CF7953">
        <w:rPr>
          <w:rFonts w:ascii="Times New Roman" w:hAnsi="Times New Roman" w:cs="Times New Roman"/>
        </w:rPr>
        <w:t>Zelenou</w:t>
      </w:r>
      <w:proofErr w:type="gramEnd"/>
      <w:r w:rsidRPr="00CF7953">
        <w:rPr>
          <w:rFonts w:ascii="Times New Roman" w:hAnsi="Times New Roman" w:cs="Times New Roman"/>
        </w:rPr>
        <w:t xml:space="preserve"> dohodou o snížení emisí skleníkových plynů do roku </w:t>
      </w:r>
      <w:r w:rsidRPr="00CF7953">
        <w:rPr>
          <w:rFonts w:ascii="Times New Roman" w:hAnsi="Times New Roman" w:cs="Times New Roman"/>
          <w:color w:val="000000" w:themeColor="text1"/>
        </w:rPr>
        <w:t xml:space="preserve">2030, kdy snížení emisí by to tohoto roku mělo činit 55 % oproti roku 1990. Zelená dohoda reaguje na Pařížskou dohodu, </w:t>
      </w:r>
      <w:r w:rsidRPr="00CF7953">
        <w:rPr>
          <w:rFonts w:ascii="Times New Roman" w:hAnsi="Times New Roman" w:cs="Times New Roman"/>
          <w:color w:val="000000" w:themeColor="text1"/>
          <w:shd w:val="clear" w:color="auto" w:fill="FFFFFF"/>
        </w:rPr>
        <w:t>Pařížská dohoda (dále jen „Dohoda“) byla přijata smluvními stranami Rámcové úmluvy OSN o změně klimatu (Úmluva) v prosinci 2015.</w:t>
      </w:r>
      <w:r w:rsidRPr="00CF7953">
        <w:rPr>
          <w:rFonts w:ascii="Times New Roman" w:hAnsi="Times New Roman" w:cs="Times New Roman"/>
          <w:color w:val="000000" w:themeColor="text1"/>
        </w:rPr>
        <w:t xml:space="preserve"> </w:t>
      </w:r>
      <w:r w:rsidRPr="00CF7953">
        <w:rPr>
          <w:rFonts w:ascii="Times New Roman" w:hAnsi="Times New Roman" w:cs="Times New Roman"/>
          <w:color w:val="000000" w:themeColor="text1"/>
          <w:shd w:val="clear" w:color="auto" w:fill="FFFFFF"/>
        </w:rPr>
        <w:t>Pařížská dohoda z hlediska svého obsahu</w:t>
      </w:r>
      <w:r w:rsidRPr="00CF7953">
        <w:rPr>
          <w:rFonts w:ascii="Times New Roman" w:hAnsi="Times New Roman" w:cs="Times New Roman"/>
          <w:b/>
          <w:bCs/>
          <w:color w:val="000000" w:themeColor="text1"/>
        </w:rPr>
        <w:t xml:space="preserve"> </w:t>
      </w:r>
      <w:r w:rsidRPr="00CF7953">
        <w:rPr>
          <w:rFonts w:ascii="Times New Roman" w:hAnsi="Times New Roman" w:cs="Times New Roman"/>
          <w:color w:val="000000" w:themeColor="text1"/>
        </w:rPr>
        <w:t xml:space="preserve">formuluje dlouhodobý cíl ochrany klimatu, jímž je přispět k udržení nárůstu průměrné globální teploty výrazně pod hranicí </w:t>
      </w:r>
      <w:proofErr w:type="gramStart"/>
      <w:r w:rsidRPr="00CF7953">
        <w:rPr>
          <w:rFonts w:ascii="Times New Roman" w:hAnsi="Times New Roman" w:cs="Times New Roman"/>
          <w:color w:val="000000" w:themeColor="text1"/>
        </w:rPr>
        <w:t>2° C</w:t>
      </w:r>
      <w:proofErr w:type="gramEnd"/>
      <w:r w:rsidRPr="00CF7953">
        <w:rPr>
          <w:rFonts w:ascii="Times New Roman" w:hAnsi="Times New Roman" w:cs="Times New Roman"/>
          <w:color w:val="000000" w:themeColor="text1"/>
        </w:rPr>
        <w:t xml:space="preserve"> v porovnání s obdobím před průmyslovou revolucí a usilovat o to, aby nárůst teploty nepřekročil hranici 1,5° C a</w:t>
      </w:r>
      <w:r w:rsidRPr="00CF7953">
        <w:rPr>
          <w:rFonts w:ascii="Times New Roman" w:hAnsi="Times New Roman" w:cs="Times New Roman"/>
          <w:b/>
          <w:bCs/>
          <w:color w:val="000000" w:themeColor="text1"/>
        </w:rPr>
        <w:t xml:space="preserve"> </w:t>
      </w:r>
      <w:r w:rsidRPr="00CF7953">
        <w:rPr>
          <w:rFonts w:ascii="Times New Roman" w:hAnsi="Times New Roman" w:cs="Times New Roman"/>
          <w:color w:val="000000" w:themeColor="text1"/>
        </w:rPr>
        <w:t>přináší významnou změnu, pokud jde o závazky snižování emisí skleníkových plynů. Dohoda totiž ukládá nejen rozvinutým, ale i rozvojovým státům povinnost stanovit si vnitrostátní redukční příspěvky k dosažení cíle Dohody. </w:t>
      </w:r>
    </w:p>
    <w:p w14:paraId="177AF7A5" w14:textId="77777777" w:rsidR="00670D87" w:rsidRPr="00CF7953" w:rsidRDefault="00670D87" w:rsidP="00670D87">
      <w:pPr>
        <w:jc w:val="both"/>
        <w:rPr>
          <w:rFonts w:ascii="Times New Roman" w:hAnsi="Times New Roman" w:cs="Times New Roman"/>
        </w:rPr>
      </w:pPr>
    </w:p>
    <w:p w14:paraId="637B2EEF" w14:textId="77777777" w:rsidR="00670D87" w:rsidRPr="00CF7953" w:rsidRDefault="00670D87" w:rsidP="00670D87">
      <w:pPr>
        <w:jc w:val="both"/>
        <w:rPr>
          <w:rFonts w:ascii="Times New Roman" w:hAnsi="Times New Roman" w:cs="Times New Roman"/>
        </w:rPr>
      </w:pPr>
      <w:r w:rsidRPr="00CF7953">
        <w:rPr>
          <w:rFonts w:ascii="Times New Roman" w:hAnsi="Times New Roman" w:cs="Times New Roman"/>
        </w:rPr>
        <w:t>Jednání bylo velmi technického rázu, kdy se podrobně probíralo, co je konkrétně potřeba učinit, aby došlo k snížení emisí skleníkových plynů. Mezi jednotlivé kroky ke snížení emisí skleníkových plynů patří následující opatření:</w:t>
      </w:r>
    </w:p>
    <w:p w14:paraId="07C4774C" w14:textId="77777777" w:rsidR="00670D87" w:rsidRPr="00CF7953" w:rsidRDefault="00670D87" w:rsidP="00670D87">
      <w:pPr>
        <w:jc w:val="both"/>
        <w:rPr>
          <w:rFonts w:ascii="Times New Roman" w:hAnsi="Times New Roman" w:cs="Times New Roman"/>
        </w:rPr>
      </w:pPr>
    </w:p>
    <w:p w14:paraId="17214460" w14:textId="77777777" w:rsidR="00670D87" w:rsidRPr="00CF7953" w:rsidRDefault="00670D87" w:rsidP="00670D87">
      <w:pPr>
        <w:pStyle w:val="Odstavecseseznamem"/>
        <w:numPr>
          <w:ilvl w:val="0"/>
          <w:numId w:val="6"/>
        </w:numPr>
        <w:jc w:val="both"/>
        <w:rPr>
          <w:rFonts w:ascii="Times New Roman" w:hAnsi="Times New Roman" w:cs="Times New Roman"/>
        </w:rPr>
      </w:pPr>
      <w:r w:rsidRPr="00CF7953">
        <w:rPr>
          <w:rFonts w:ascii="Times New Roman" w:hAnsi="Times New Roman" w:cs="Times New Roman"/>
        </w:rPr>
        <w:t>V roce 2020 začínají platit přísnější limity pro emise u nově prodaných automobilů, které se v průměru mají dostat na 95 gramů na ujetý kilometr. To platí pro 95 procent nových vozů flotily výrobce,</w:t>
      </w:r>
    </w:p>
    <w:p w14:paraId="7248DF54" w14:textId="77777777" w:rsidR="00670D87" w:rsidRPr="00CF7953" w:rsidRDefault="00670D87" w:rsidP="00670D87">
      <w:pPr>
        <w:pStyle w:val="Odstavecseseznamem"/>
        <w:numPr>
          <w:ilvl w:val="0"/>
          <w:numId w:val="6"/>
        </w:numPr>
        <w:jc w:val="both"/>
        <w:rPr>
          <w:rFonts w:ascii="Times New Roman" w:hAnsi="Times New Roman" w:cs="Times New Roman"/>
        </w:rPr>
      </w:pPr>
      <w:r w:rsidRPr="00CF7953">
        <w:rPr>
          <w:rFonts w:ascii="Times New Roman" w:hAnsi="Times New Roman" w:cs="Times New Roman"/>
        </w:rPr>
        <w:t>v roce 2021 pak tento limit bude platit pro 100 procent nových vozů. Komise dále hodlá navrhnout přísnější standardy emisí znečišťujících látek pro spalovací motory (tzv. normy EURO).</w:t>
      </w:r>
    </w:p>
    <w:p w14:paraId="70AC8C27" w14:textId="77777777" w:rsidR="00670D87" w:rsidRPr="00CF7953" w:rsidRDefault="00670D87" w:rsidP="00670D87">
      <w:pPr>
        <w:pStyle w:val="Odstavecseseznamem"/>
        <w:ind w:left="1068"/>
        <w:jc w:val="both"/>
        <w:rPr>
          <w:rFonts w:ascii="Times New Roman" w:hAnsi="Times New Roman" w:cs="Times New Roman"/>
        </w:rPr>
      </w:pPr>
    </w:p>
    <w:p w14:paraId="2689B113" w14:textId="77777777" w:rsidR="00670D87" w:rsidRPr="00CF7953" w:rsidRDefault="00670D87" w:rsidP="00670D87">
      <w:pPr>
        <w:pStyle w:val="Normlnweb"/>
        <w:spacing w:before="0" w:beforeAutospacing="0" w:after="240" w:afterAutospacing="0"/>
        <w:jc w:val="both"/>
      </w:pPr>
      <w:r w:rsidRPr="00CF7953">
        <w:rPr>
          <w:color w:val="000000" w:themeColor="text1"/>
        </w:rPr>
        <w:t xml:space="preserve">Průměrné emise CO2 z automobilové dopravy se zatím postupně zvyšují. U nových vozidel se emise daří razantně snižovat, celkový negativní vývoj emisí v dopravě ovlivňují rostoucí dopravní výkony, stárnoucí vozový park a doposud omezená motivace zákazníků pořizovat si </w:t>
      </w:r>
      <w:proofErr w:type="spellStart"/>
      <w:r w:rsidRPr="00CF7953">
        <w:rPr>
          <w:color w:val="000000" w:themeColor="text1"/>
        </w:rPr>
        <w:t>nízkoemisní</w:t>
      </w:r>
      <w:proofErr w:type="spellEnd"/>
      <w:r w:rsidRPr="00CF7953">
        <w:rPr>
          <w:color w:val="000000" w:themeColor="text1"/>
        </w:rPr>
        <w:t xml:space="preserve"> a bezemisní vozidla. Požadavek rychlého snižování emisí proto nutí výrobce automobilů, aby ještě více investovali například do </w:t>
      </w:r>
      <w:proofErr w:type="spellStart"/>
      <w:r w:rsidRPr="00CF7953">
        <w:rPr>
          <w:color w:val="000000" w:themeColor="text1"/>
        </w:rPr>
        <w:t>elektromobility</w:t>
      </w:r>
      <w:proofErr w:type="spellEnd"/>
      <w:r w:rsidRPr="00CF7953">
        <w:rPr>
          <w:color w:val="000000" w:themeColor="text1"/>
        </w:rPr>
        <w:t xml:space="preserve">. Infrastruktura pro další rozvoj </w:t>
      </w:r>
      <w:proofErr w:type="spellStart"/>
      <w:r w:rsidRPr="00CF7953">
        <w:rPr>
          <w:color w:val="000000" w:themeColor="text1"/>
        </w:rPr>
        <w:t>elektromobility</w:t>
      </w:r>
      <w:proofErr w:type="spellEnd"/>
      <w:r w:rsidRPr="00CF7953">
        <w:rPr>
          <w:color w:val="000000" w:themeColor="text1"/>
        </w:rPr>
        <w:t xml:space="preserve"> ale zatím není dostatečná a EU do ní bude muset investovat nemalý objem finančních prostředků,</w:t>
      </w:r>
      <w:r w:rsidRPr="00CF7953">
        <w:t xml:space="preserve"> aby mohlo dojít ke spravedlivému přechodu v automobilovém průmyslu.</w:t>
      </w:r>
    </w:p>
    <w:p w14:paraId="0B5AF7F4" w14:textId="77777777" w:rsidR="00670D87" w:rsidRDefault="00670D87" w:rsidP="00670D87">
      <w:pPr>
        <w:jc w:val="both"/>
        <w:rPr>
          <w:rFonts w:ascii="Times New Roman" w:hAnsi="Times New Roman" w:cs="Times New Roman"/>
        </w:rPr>
      </w:pPr>
      <w:r w:rsidRPr="00CF7953">
        <w:rPr>
          <w:rFonts w:ascii="Times New Roman" w:hAnsi="Times New Roman" w:cs="Times New Roman"/>
        </w:rPr>
        <w:t xml:space="preserve">Jednání se za OS </w:t>
      </w:r>
      <w:proofErr w:type="gramStart"/>
      <w:r w:rsidRPr="00CF7953">
        <w:rPr>
          <w:rFonts w:ascii="Times New Roman" w:hAnsi="Times New Roman" w:cs="Times New Roman"/>
        </w:rPr>
        <w:t>zúčastnila  Hrabě</w:t>
      </w:r>
      <w:proofErr w:type="gramEnd"/>
      <w:r w:rsidRPr="00CF7953">
        <w:rPr>
          <w:rFonts w:ascii="Times New Roman" w:hAnsi="Times New Roman" w:cs="Times New Roman"/>
        </w:rPr>
        <w:t xml:space="preserve"> Tereza, specialista pro BOZP a organizační činnost.</w:t>
      </w:r>
    </w:p>
    <w:p w14:paraId="3BE6FB25" w14:textId="77777777" w:rsidR="00670D87" w:rsidRDefault="00670D87" w:rsidP="00670D87">
      <w:pPr>
        <w:jc w:val="both"/>
        <w:rPr>
          <w:rFonts w:ascii="Times New Roman" w:hAnsi="Times New Roman" w:cs="Times New Roman"/>
        </w:rPr>
      </w:pPr>
    </w:p>
    <w:p w14:paraId="273D9A6D" w14:textId="77777777" w:rsidR="00670D87" w:rsidRDefault="00670D87" w:rsidP="00670D87">
      <w:pPr>
        <w:jc w:val="both"/>
        <w:rPr>
          <w:rFonts w:ascii="Times New Roman" w:hAnsi="Times New Roman" w:cs="Times New Roman"/>
        </w:rPr>
      </w:pPr>
      <w:r>
        <w:rPr>
          <w:rFonts w:ascii="Times New Roman" w:hAnsi="Times New Roman" w:cs="Times New Roman"/>
        </w:rPr>
        <w:t>___________________________________________________________________________</w:t>
      </w:r>
    </w:p>
    <w:p w14:paraId="015A153A" w14:textId="77777777" w:rsidR="00670D87" w:rsidRDefault="00670D87" w:rsidP="00670D87">
      <w:pPr>
        <w:jc w:val="both"/>
        <w:rPr>
          <w:rFonts w:ascii="Times New Roman" w:hAnsi="Times New Roman" w:cs="Times New Roman"/>
        </w:rPr>
      </w:pPr>
    </w:p>
    <w:p w14:paraId="77ED0C70" w14:textId="77777777" w:rsidR="00670D87" w:rsidRDefault="00670D87" w:rsidP="00670D87">
      <w:pPr>
        <w:jc w:val="both"/>
        <w:rPr>
          <w:rFonts w:ascii="Times New Roman" w:hAnsi="Times New Roman" w:cs="Times New Roman"/>
        </w:rPr>
      </w:pPr>
    </w:p>
    <w:p w14:paraId="5C0311A2" w14:textId="77777777" w:rsidR="00670D87" w:rsidRDefault="00670D87" w:rsidP="00670D87">
      <w:pPr>
        <w:jc w:val="both"/>
        <w:rPr>
          <w:rFonts w:ascii="Times New Roman" w:hAnsi="Times New Roman" w:cs="Times New Roman"/>
        </w:rPr>
      </w:pPr>
      <w:r>
        <w:rPr>
          <w:rFonts w:ascii="Times New Roman" w:hAnsi="Times New Roman" w:cs="Times New Roman"/>
        </w:rPr>
        <w:t xml:space="preserve">Podrobná zpráva z konání III. Kongresu </w:t>
      </w:r>
      <w:proofErr w:type="spellStart"/>
      <w:r>
        <w:rPr>
          <w:rFonts w:ascii="Times New Roman" w:hAnsi="Times New Roman" w:cs="Times New Roman"/>
        </w:rPr>
        <w:t>IndustriAll</w:t>
      </w:r>
      <w:proofErr w:type="spellEnd"/>
      <w:r>
        <w:rPr>
          <w:rFonts w:ascii="Times New Roman" w:hAnsi="Times New Roman" w:cs="Times New Roman"/>
        </w:rPr>
        <w:t xml:space="preserve"> je stále zpracovávaná. Krátký report z proběhlé online konference naleznete zde:</w:t>
      </w:r>
    </w:p>
    <w:p w14:paraId="7CC85D46" w14:textId="77777777" w:rsidR="00670D87" w:rsidRDefault="00670D87" w:rsidP="00670D87">
      <w:pPr>
        <w:jc w:val="both"/>
        <w:rPr>
          <w:rFonts w:ascii="Times New Roman" w:hAnsi="Times New Roman" w:cs="Times New Roman"/>
        </w:rPr>
      </w:pPr>
    </w:p>
    <w:p w14:paraId="2DAF3613" w14:textId="77777777" w:rsidR="00670D87" w:rsidRPr="00E32378" w:rsidRDefault="00670D87" w:rsidP="00670D87">
      <w:pPr>
        <w:jc w:val="both"/>
        <w:rPr>
          <w:rFonts w:ascii="Times New Roman" w:hAnsi="Times New Roman" w:cs="Times New Roman"/>
        </w:rPr>
      </w:pPr>
      <w:r w:rsidRPr="00E32378">
        <w:rPr>
          <w:rFonts w:ascii="Times New Roman" w:hAnsi="Times New Roman" w:cs="Times New Roman"/>
        </w:rPr>
        <w:lastRenderedPageBreak/>
        <w:t xml:space="preserve">III. Kongres </w:t>
      </w:r>
      <w:proofErr w:type="spellStart"/>
      <w:r w:rsidRPr="00E32378">
        <w:rPr>
          <w:rFonts w:ascii="Times New Roman" w:hAnsi="Times New Roman" w:cs="Times New Roman"/>
        </w:rPr>
        <w:t>IndustriAll</w:t>
      </w:r>
      <w:proofErr w:type="spellEnd"/>
      <w:r w:rsidRPr="00E32378">
        <w:rPr>
          <w:rFonts w:ascii="Times New Roman" w:hAnsi="Times New Roman" w:cs="Times New Roman"/>
        </w:rPr>
        <w:t xml:space="preserve"> měl podnázev Budování pro všechny.</w:t>
      </w:r>
    </w:p>
    <w:p w14:paraId="35BA4341" w14:textId="77777777" w:rsidR="00670D87" w:rsidRPr="00E32378" w:rsidRDefault="00670D87" w:rsidP="00670D87">
      <w:pPr>
        <w:jc w:val="both"/>
        <w:rPr>
          <w:rFonts w:ascii="Times New Roman" w:hAnsi="Times New Roman" w:cs="Times New Roman"/>
        </w:rPr>
      </w:pPr>
      <w:r w:rsidRPr="00E32378">
        <w:rPr>
          <w:rFonts w:ascii="Times New Roman" w:hAnsi="Times New Roman" w:cs="Times New Roman"/>
        </w:rPr>
        <w:t xml:space="preserve">Online jednání III. Kongresu </w:t>
      </w:r>
      <w:proofErr w:type="spellStart"/>
      <w:r w:rsidRPr="00E32378">
        <w:rPr>
          <w:rFonts w:ascii="Times New Roman" w:hAnsi="Times New Roman" w:cs="Times New Roman"/>
        </w:rPr>
        <w:t>IndustriAll</w:t>
      </w:r>
      <w:proofErr w:type="spellEnd"/>
      <w:r w:rsidRPr="00E32378">
        <w:rPr>
          <w:rFonts w:ascii="Times New Roman" w:hAnsi="Times New Roman" w:cs="Times New Roman"/>
        </w:rPr>
        <w:t xml:space="preserve"> začalo 1. 6. 2021 v 16:30 hod. úvodním slovem prezidenta </w:t>
      </w:r>
      <w:proofErr w:type="spellStart"/>
      <w:r w:rsidRPr="00E32378">
        <w:rPr>
          <w:rFonts w:ascii="Times New Roman" w:hAnsi="Times New Roman" w:cs="Times New Roman"/>
        </w:rPr>
        <w:t>IndustriAll</w:t>
      </w:r>
      <w:proofErr w:type="spellEnd"/>
      <w:r w:rsidRPr="00E32378">
        <w:rPr>
          <w:rFonts w:ascii="Times New Roman" w:hAnsi="Times New Roman" w:cs="Times New Roman"/>
        </w:rPr>
        <w:t xml:space="preserve"> Michaelem </w:t>
      </w:r>
      <w:proofErr w:type="spellStart"/>
      <w:r w:rsidRPr="00E32378">
        <w:rPr>
          <w:rFonts w:ascii="Times New Roman" w:hAnsi="Times New Roman" w:cs="Times New Roman"/>
        </w:rPr>
        <w:t>Vassiliadisem</w:t>
      </w:r>
      <w:proofErr w:type="spellEnd"/>
      <w:r w:rsidRPr="00E32378">
        <w:rPr>
          <w:rFonts w:ascii="Times New Roman" w:hAnsi="Times New Roman" w:cs="Times New Roman"/>
        </w:rPr>
        <w:t>, který na úvod rozebral celou ústavu kongresu, která se skládala z těchto bodů:</w:t>
      </w:r>
    </w:p>
    <w:p w14:paraId="45B2F1F9" w14:textId="77777777" w:rsidR="00670D87" w:rsidRPr="00E32378" w:rsidRDefault="00670D87" w:rsidP="00670D87">
      <w:pPr>
        <w:jc w:val="both"/>
        <w:rPr>
          <w:rFonts w:ascii="Times New Roman" w:hAnsi="Times New Roman" w:cs="Times New Roman"/>
        </w:rPr>
      </w:pPr>
    </w:p>
    <w:p w14:paraId="7CF9C3BB" w14:textId="77777777" w:rsidR="00670D87" w:rsidRPr="00E32378" w:rsidRDefault="00670D87" w:rsidP="00670D87">
      <w:pPr>
        <w:jc w:val="both"/>
        <w:rPr>
          <w:rFonts w:ascii="Times New Roman" w:hAnsi="Times New Roman" w:cs="Times New Roman"/>
        </w:rPr>
      </w:pPr>
      <w:r w:rsidRPr="00E32378">
        <w:rPr>
          <w:rFonts w:ascii="Times New Roman" w:hAnsi="Times New Roman" w:cs="Times New Roman"/>
        </w:rPr>
        <w:t>a. vysvětlení hlasovacích postupů</w:t>
      </w:r>
    </w:p>
    <w:p w14:paraId="14D6DAD1" w14:textId="77777777" w:rsidR="00670D87" w:rsidRPr="00E32378" w:rsidRDefault="00670D87" w:rsidP="00670D87">
      <w:pPr>
        <w:jc w:val="both"/>
        <w:rPr>
          <w:rFonts w:ascii="Times New Roman" w:hAnsi="Times New Roman" w:cs="Times New Roman"/>
        </w:rPr>
      </w:pPr>
      <w:r w:rsidRPr="00E32378">
        <w:rPr>
          <w:rFonts w:ascii="Times New Roman" w:hAnsi="Times New Roman" w:cs="Times New Roman"/>
        </w:rPr>
        <w:t>b. potvrzení členů pověřovacího výboru</w:t>
      </w:r>
    </w:p>
    <w:p w14:paraId="11953D66" w14:textId="77777777" w:rsidR="00670D87" w:rsidRPr="00E32378" w:rsidRDefault="00670D87" w:rsidP="00670D87">
      <w:pPr>
        <w:jc w:val="both"/>
        <w:rPr>
          <w:rFonts w:ascii="Times New Roman" w:hAnsi="Times New Roman" w:cs="Times New Roman"/>
        </w:rPr>
      </w:pPr>
      <w:r w:rsidRPr="00E32378">
        <w:rPr>
          <w:rFonts w:ascii="Times New Roman" w:hAnsi="Times New Roman" w:cs="Times New Roman"/>
        </w:rPr>
        <w:t>c. zpráva pověřovacího výboru</w:t>
      </w:r>
    </w:p>
    <w:p w14:paraId="256131BF" w14:textId="77777777" w:rsidR="00670D87" w:rsidRPr="00E32378" w:rsidRDefault="00670D87" w:rsidP="00670D87">
      <w:pPr>
        <w:jc w:val="both"/>
        <w:rPr>
          <w:rFonts w:ascii="Times New Roman" w:hAnsi="Times New Roman" w:cs="Times New Roman"/>
        </w:rPr>
      </w:pPr>
      <w:r w:rsidRPr="00E32378">
        <w:rPr>
          <w:rFonts w:ascii="Times New Roman" w:hAnsi="Times New Roman" w:cs="Times New Roman"/>
        </w:rPr>
        <w:t>d. schválení trvalých příkazů</w:t>
      </w:r>
    </w:p>
    <w:p w14:paraId="1CBE2F00" w14:textId="77777777" w:rsidR="00670D87" w:rsidRPr="00E32378" w:rsidRDefault="00670D87" w:rsidP="00670D87">
      <w:pPr>
        <w:jc w:val="both"/>
        <w:rPr>
          <w:rFonts w:ascii="Times New Roman" w:hAnsi="Times New Roman" w:cs="Times New Roman"/>
        </w:rPr>
      </w:pPr>
      <w:r w:rsidRPr="00E32378">
        <w:rPr>
          <w:rFonts w:ascii="Times New Roman" w:hAnsi="Times New Roman" w:cs="Times New Roman"/>
        </w:rPr>
        <w:t>e. schválení předsednictva Kongresu (předseda, generální tajemník, náměstci generálních tajemníků)</w:t>
      </w:r>
    </w:p>
    <w:p w14:paraId="471DD8D5" w14:textId="77777777" w:rsidR="00670D87" w:rsidRPr="00E32378" w:rsidRDefault="00670D87" w:rsidP="00670D87">
      <w:pPr>
        <w:jc w:val="both"/>
        <w:rPr>
          <w:rFonts w:ascii="Times New Roman" w:hAnsi="Times New Roman" w:cs="Times New Roman"/>
        </w:rPr>
      </w:pPr>
      <w:r w:rsidRPr="00E32378">
        <w:rPr>
          <w:rFonts w:ascii="Times New Roman" w:hAnsi="Times New Roman" w:cs="Times New Roman"/>
        </w:rPr>
        <w:t>f. schválení programu</w:t>
      </w:r>
    </w:p>
    <w:p w14:paraId="5F14484E" w14:textId="77777777" w:rsidR="00670D87" w:rsidRPr="00E32378" w:rsidRDefault="00670D87" w:rsidP="00670D87">
      <w:pPr>
        <w:jc w:val="both"/>
        <w:rPr>
          <w:rFonts w:ascii="Times New Roman" w:hAnsi="Times New Roman" w:cs="Times New Roman"/>
        </w:rPr>
      </w:pPr>
      <w:r w:rsidRPr="00E32378">
        <w:rPr>
          <w:rFonts w:ascii="Times New Roman" w:hAnsi="Times New Roman" w:cs="Times New Roman"/>
        </w:rPr>
        <w:t>g. schválení členů Výboru pro usnesení a návrhy</w:t>
      </w:r>
    </w:p>
    <w:p w14:paraId="2826CBE1" w14:textId="77777777" w:rsidR="00670D87" w:rsidRPr="00E32378" w:rsidRDefault="00670D87" w:rsidP="00670D87">
      <w:pPr>
        <w:jc w:val="both"/>
        <w:rPr>
          <w:rFonts w:ascii="Times New Roman" w:hAnsi="Times New Roman" w:cs="Times New Roman"/>
        </w:rPr>
      </w:pPr>
    </w:p>
    <w:p w14:paraId="73682DA8" w14:textId="77777777" w:rsidR="00670D87" w:rsidRPr="00E32378" w:rsidRDefault="00670D87" w:rsidP="00670D87">
      <w:pPr>
        <w:jc w:val="both"/>
        <w:rPr>
          <w:rFonts w:ascii="Times New Roman" w:hAnsi="Times New Roman" w:cs="Times New Roman"/>
        </w:rPr>
      </w:pPr>
      <w:r w:rsidRPr="00E32378">
        <w:rPr>
          <w:rFonts w:ascii="Times New Roman" w:hAnsi="Times New Roman" w:cs="Times New Roman"/>
        </w:rPr>
        <w:t xml:space="preserve">V rámci III. Kongresu </w:t>
      </w:r>
      <w:proofErr w:type="spellStart"/>
      <w:r w:rsidRPr="00E32378">
        <w:rPr>
          <w:rFonts w:ascii="Times New Roman" w:hAnsi="Times New Roman" w:cs="Times New Roman"/>
        </w:rPr>
        <w:t>IndustriAll</w:t>
      </w:r>
      <w:proofErr w:type="spellEnd"/>
      <w:r w:rsidRPr="00E32378">
        <w:rPr>
          <w:rFonts w:ascii="Times New Roman" w:hAnsi="Times New Roman" w:cs="Times New Roman"/>
        </w:rPr>
        <w:t xml:space="preserve"> došlo k volbě předsednictva již 26. 5. a 27. 5. 2021 prostřednictvím speciální aplikace zvané </w:t>
      </w:r>
      <w:proofErr w:type="spellStart"/>
      <w:r w:rsidRPr="00E32378">
        <w:rPr>
          <w:rFonts w:ascii="Times New Roman" w:hAnsi="Times New Roman" w:cs="Times New Roman"/>
        </w:rPr>
        <w:t>QuizzBox</w:t>
      </w:r>
      <w:proofErr w:type="spellEnd"/>
      <w:r w:rsidRPr="00E32378">
        <w:rPr>
          <w:rFonts w:ascii="Times New Roman" w:hAnsi="Times New Roman" w:cs="Times New Roman"/>
        </w:rPr>
        <w:t xml:space="preserve"> na jednotlivé funkce byli tyto nominace:</w:t>
      </w:r>
    </w:p>
    <w:p w14:paraId="7EAC8BB3" w14:textId="77777777" w:rsidR="00670D87" w:rsidRPr="00E32378" w:rsidRDefault="00670D87" w:rsidP="00670D87">
      <w:pPr>
        <w:jc w:val="both"/>
        <w:rPr>
          <w:rFonts w:ascii="Times New Roman" w:hAnsi="Times New Roman" w:cs="Times New Roman"/>
        </w:rPr>
      </w:pPr>
    </w:p>
    <w:p w14:paraId="3C785407" w14:textId="77777777" w:rsidR="00670D87" w:rsidRPr="00E32378" w:rsidRDefault="00670D87" w:rsidP="00670D87">
      <w:pPr>
        <w:jc w:val="both"/>
        <w:rPr>
          <w:rFonts w:ascii="Times New Roman" w:hAnsi="Times New Roman" w:cs="Times New Roman"/>
        </w:rPr>
      </w:pPr>
      <w:proofErr w:type="gramStart"/>
      <w:r w:rsidRPr="00E32378">
        <w:rPr>
          <w:rFonts w:ascii="Times New Roman" w:hAnsi="Times New Roman" w:cs="Times New Roman"/>
        </w:rPr>
        <w:t>president</w:t>
      </w:r>
      <w:proofErr w:type="gramEnd"/>
      <w:r w:rsidRPr="00E32378">
        <w:rPr>
          <w:rFonts w:ascii="Times New Roman" w:hAnsi="Times New Roman" w:cs="Times New Roman"/>
        </w:rPr>
        <w:t xml:space="preserve">: Michael </w:t>
      </w:r>
      <w:proofErr w:type="spellStart"/>
      <w:r w:rsidRPr="00E32378">
        <w:rPr>
          <w:rFonts w:ascii="Times New Roman" w:hAnsi="Times New Roman" w:cs="Times New Roman"/>
        </w:rPr>
        <w:t>Vassiliadis</w:t>
      </w:r>
      <w:proofErr w:type="spellEnd"/>
      <w:r w:rsidRPr="00E32378">
        <w:rPr>
          <w:rFonts w:ascii="Times New Roman" w:hAnsi="Times New Roman" w:cs="Times New Roman"/>
        </w:rPr>
        <w:t>,</w:t>
      </w:r>
    </w:p>
    <w:p w14:paraId="6F3C7013" w14:textId="77777777" w:rsidR="00670D87" w:rsidRPr="00E32378" w:rsidRDefault="00670D87" w:rsidP="00670D87">
      <w:pPr>
        <w:jc w:val="both"/>
        <w:rPr>
          <w:rFonts w:ascii="Times New Roman" w:hAnsi="Times New Roman" w:cs="Times New Roman"/>
        </w:rPr>
      </w:pPr>
      <w:r w:rsidRPr="00E32378">
        <w:rPr>
          <w:rFonts w:ascii="Times New Roman" w:hAnsi="Times New Roman" w:cs="Times New Roman"/>
        </w:rPr>
        <w:t xml:space="preserve">generální tajemník: </w:t>
      </w:r>
      <w:proofErr w:type="spellStart"/>
      <w:r w:rsidRPr="00E32378">
        <w:rPr>
          <w:rFonts w:ascii="Times New Roman" w:hAnsi="Times New Roman" w:cs="Times New Roman"/>
        </w:rPr>
        <w:t>Luc</w:t>
      </w:r>
      <w:proofErr w:type="spellEnd"/>
      <w:r w:rsidRPr="00E32378">
        <w:rPr>
          <w:rFonts w:ascii="Times New Roman" w:hAnsi="Times New Roman" w:cs="Times New Roman"/>
        </w:rPr>
        <w:t xml:space="preserve"> Triangle,</w:t>
      </w:r>
    </w:p>
    <w:p w14:paraId="7CA47971" w14:textId="77777777" w:rsidR="00670D87" w:rsidRPr="00E32378" w:rsidRDefault="00670D87" w:rsidP="00670D87">
      <w:pPr>
        <w:jc w:val="both"/>
        <w:rPr>
          <w:rFonts w:ascii="Times New Roman" w:hAnsi="Times New Roman" w:cs="Times New Roman"/>
        </w:rPr>
      </w:pPr>
      <w:r w:rsidRPr="00E32378">
        <w:rPr>
          <w:rFonts w:ascii="Times New Roman" w:hAnsi="Times New Roman" w:cs="Times New Roman"/>
        </w:rPr>
        <w:t xml:space="preserve">zástupce generálního tajemníka: Isabelle </w:t>
      </w:r>
      <w:proofErr w:type="spellStart"/>
      <w:r w:rsidRPr="00E32378">
        <w:rPr>
          <w:rFonts w:ascii="Times New Roman" w:hAnsi="Times New Roman" w:cs="Times New Roman"/>
        </w:rPr>
        <w:t>Barthès</w:t>
      </w:r>
      <w:proofErr w:type="spellEnd"/>
      <w:r w:rsidRPr="00E32378">
        <w:rPr>
          <w:rFonts w:ascii="Times New Roman" w:hAnsi="Times New Roman" w:cs="Times New Roman"/>
        </w:rPr>
        <w:t>,</w:t>
      </w:r>
    </w:p>
    <w:p w14:paraId="4CD3DDA9" w14:textId="77777777" w:rsidR="00670D87" w:rsidRPr="00E32378" w:rsidRDefault="00670D87" w:rsidP="00670D87">
      <w:pPr>
        <w:jc w:val="both"/>
        <w:rPr>
          <w:rFonts w:ascii="Times New Roman" w:hAnsi="Times New Roman" w:cs="Times New Roman"/>
        </w:rPr>
      </w:pPr>
      <w:r w:rsidRPr="00E32378">
        <w:rPr>
          <w:rFonts w:ascii="Times New Roman" w:hAnsi="Times New Roman" w:cs="Times New Roman"/>
        </w:rPr>
        <w:t xml:space="preserve">zástupce generálního tajemníka: Judith </w:t>
      </w:r>
      <w:proofErr w:type="spellStart"/>
      <w:r w:rsidRPr="00E32378">
        <w:rPr>
          <w:rFonts w:ascii="Times New Roman" w:hAnsi="Times New Roman" w:cs="Times New Roman"/>
        </w:rPr>
        <w:t>Kirton-Darling</w:t>
      </w:r>
      <w:proofErr w:type="spellEnd"/>
      <w:r w:rsidRPr="00E32378">
        <w:rPr>
          <w:rFonts w:ascii="Times New Roman" w:hAnsi="Times New Roman" w:cs="Times New Roman"/>
        </w:rPr>
        <w:t>.</w:t>
      </w:r>
    </w:p>
    <w:p w14:paraId="76EB6EBD" w14:textId="77777777" w:rsidR="00670D87" w:rsidRPr="00E32378" w:rsidRDefault="00670D87" w:rsidP="00670D87">
      <w:pPr>
        <w:jc w:val="both"/>
        <w:rPr>
          <w:rFonts w:ascii="Times New Roman" w:hAnsi="Times New Roman" w:cs="Times New Roman"/>
        </w:rPr>
      </w:pPr>
    </w:p>
    <w:p w14:paraId="41043A67" w14:textId="77777777" w:rsidR="00670D87" w:rsidRPr="00E32378" w:rsidRDefault="00670D87" w:rsidP="00670D87">
      <w:pPr>
        <w:jc w:val="both"/>
        <w:rPr>
          <w:rFonts w:ascii="Times New Roman" w:hAnsi="Times New Roman" w:cs="Times New Roman"/>
        </w:rPr>
      </w:pPr>
      <w:r w:rsidRPr="00E32378">
        <w:rPr>
          <w:rFonts w:ascii="Times New Roman" w:hAnsi="Times New Roman" w:cs="Times New Roman"/>
        </w:rPr>
        <w:t xml:space="preserve">Náš odborový svaz skla, keramiky a porcelánu má přidělený jeden hlas. Za OS tak hlasoval pan předseda Mgr. Ondřej </w:t>
      </w:r>
      <w:proofErr w:type="spellStart"/>
      <w:r w:rsidRPr="00E32378">
        <w:rPr>
          <w:rFonts w:ascii="Times New Roman" w:hAnsi="Times New Roman" w:cs="Times New Roman"/>
        </w:rPr>
        <w:t>Fedoročko</w:t>
      </w:r>
      <w:proofErr w:type="spellEnd"/>
      <w:r w:rsidRPr="00E32378">
        <w:rPr>
          <w:rFonts w:ascii="Times New Roman" w:hAnsi="Times New Roman" w:cs="Times New Roman"/>
        </w:rPr>
        <w:t>. Vzhledem k tomu, že na každé pozici byla nominována jedna osoba, hlasovalo se formou volby „ano“ pro souhlas, „ne“ pro nesouhlas, nebo „zdržení se“ hlasování.</w:t>
      </w:r>
    </w:p>
    <w:p w14:paraId="5A415111" w14:textId="77777777" w:rsidR="00670D87" w:rsidRPr="00E32378" w:rsidRDefault="00670D87" w:rsidP="00670D87">
      <w:pPr>
        <w:jc w:val="both"/>
        <w:rPr>
          <w:rFonts w:ascii="Times New Roman" w:hAnsi="Times New Roman" w:cs="Times New Roman"/>
        </w:rPr>
      </w:pPr>
    </w:p>
    <w:p w14:paraId="16CFD63D" w14:textId="77777777" w:rsidR="00670D87" w:rsidRPr="00E32378" w:rsidRDefault="00670D87" w:rsidP="00670D87">
      <w:pPr>
        <w:jc w:val="both"/>
        <w:rPr>
          <w:rFonts w:ascii="Times New Roman" w:hAnsi="Times New Roman" w:cs="Times New Roman"/>
        </w:rPr>
      </w:pPr>
      <w:r w:rsidRPr="00E32378">
        <w:rPr>
          <w:rFonts w:ascii="Times New Roman" w:hAnsi="Times New Roman" w:cs="Times New Roman"/>
        </w:rPr>
        <w:t xml:space="preserve">Všichni výše nominující byli úspěšně zvoleni a první den III. </w:t>
      </w:r>
      <w:proofErr w:type="spellStart"/>
      <w:r w:rsidRPr="00E32378">
        <w:rPr>
          <w:rFonts w:ascii="Times New Roman" w:hAnsi="Times New Roman" w:cs="Times New Roman"/>
        </w:rPr>
        <w:t>Kondgresu</w:t>
      </w:r>
      <w:proofErr w:type="spellEnd"/>
      <w:r w:rsidRPr="00E32378">
        <w:rPr>
          <w:rFonts w:ascii="Times New Roman" w:hAnsi="Times New Roman" w:cs="Times New Roman"/>
        </w:rPr>
        <w:t xml:space="preserve"> </w:t>
      </w:r>
      <w:proofErr w:type="spellStart"/>
      <w:r w:rsidRPr="00E32378">
        <w:rPr>
          <w:rFonts w:ascii="Times New Roman" w:hAnsi="Times New Roman" w:cs="Times New Roman"/>
        </w:rPr>
        <w:t>IndustriAll</w:t>
      </w:r>
      <w:proofErr w:type="spellEnd"/>
      <w:r w:rsidRPr="00E32378">
        <w:rPr>
          <w:rFonts w:ascii="Times New Roman" w:hAnsi="Times New Roman" w:cs="Times New Roman"/>
        </w:rPr>
        <w:t xml:space="preserve"> tak došlo pouze k potvrzení jejich zvolení.</w:t>
      </w:r>
    </w:p>
    <w:p w14:paraId="3E5AAC90" w14:textId="77777777" w:rsidR="00670D87" w:rsidRPr="00E32378" w:rsidRDefault="00670D87" w:rsidP="00670D87">
      <w:pPr>
        <w:jc w:val="both"/>
        <w:rPr>
          <w:rFonts w:ascii="Times New Roman" w:hAnsi="Times New Roman" w:cs="Times New Roman"/>
        </w:rPr>
      </w:pPr>
    </w:p>
    <w:p w14:paraId="379AF850" w14:textId="77777777" w:rsidR="00670D87" w:rsidRPr="00E32378" w:rsidRDefault="00670D87" w:rsidP="00670D87">
      <w:pPr>
        <w:jc w:val="both"/>
        <w:rPr>
          <w:rFonts w:ascii="Times New Roman" w:hAnsi="Times New Roman" w:cs="Times New Roman"/>
        </w:rPr>
      </w:pPr>
      <w:r w:rsidRPr="00E32378">
        <w:rPr>
          <w:rFonts w:ascii="Times New Roman" w:hAnsi="Times New Roman" w:cs="Times New Roman"/>
        </w:rPr>
        <w:t xml:space="preserve">Druhý den začal III. </w:t>
      </w:r>
      <w:proofErr w:type="spellStart"/>
      <w:r w:rsidRPr="00E32378">
        <w:rPr>
          <w:rFonts w:ascii="Times New Roman" w:hAnsi="Times New Roman" w:cs="Times New Roman"/>
        </w:rPr>
        <w:t>Kondgresu</w:t>
      </w:r>
      <w:proofErr w:type="spellEnd"/>
      <w:r w:rsidRPr="00E32378">
        <w:rPr>
          <w:rFonts w:ascii="Times New Roman" w:hAnsi="Times New Roman" w:cs="Times New Roman"/>
        </w:rPr>
        <w:t xml:space="preserve"> </w:t>
      </w:r>
      <w:proofErr w:type="spellStart"/>
      <w:r w:rsidRPr="00E32378">
        <w:rPr>
          <w:rFonts w:ascii="Times New Roman" w:hAnsi="Times New Roman" w:cs="Times New Roman"/>
        </w:rPr>
        <w:t>IndustriAll</w:t>
      </w:r>
      <w:proofErr w:type="spellEnd"/>
      <w:r w:rsidRPr="00E32378">
        <w:rPr>
          <w:rFonts w:ascii="Times New Roman" w:hAnsi="Times New Roman" w:cs="Times New Roman"/>
        </w:rPr>
        <w:t xml:space="preserve"> v 9:30 hod. prezentací výsledků z výše uvedených voleb. Michael </w:t>
      </w:r>
      <w:proofErr w:type="spellStart"/>
      <w:r w:rsidRPr="00E32378">
        <w:rPr>
          <w:rFonts w:ascii="Times New Roman" w:hAnsi="Times New Roman" w:cs="Times New Roman"/>
        </w:rPr>
        <w:t>Vassiliadis</w:t>
      </w:r>
      <w:proofErr w:type="spellEnd"/>
      <w:r w:rsidRPr="00E32378">
        <w:rPr>
          <w:rFonts w:ascii="Times New Roman" w:hAnsi="Times New Roman" w:cs="Times New Roman"/>
        </w:rPr>
        <w:t xml:space="preserve"> obdržel z 6,228 707 odevzdaných hlasů 6,228 607 hlasů, tedy 99, 97 % hlasů, </w:t>
      </w:r>
      <w:proofErr w:type="spellStart"/>
      <w:r w:rsidRPr="00E32378">
        <w:rPr>
          <w:rFonts w:ascii="Times New Roman" w:hAnsi="Times New Roman" w:cs="Times New Roman"/>
        </w:rPr>
        <w:t>Luc</w:t>
      </w:r>
      <w:proofErr w:type="spellEnd"/>
      <w:r w:rsidRPr="00E32378">
        <w:rPr>
          <w:rFonts w:ascii="Times New Roman" w:hAnsi="Times New Roman" w:cs="Times New Roman"/>
        </w:rPr>
        <w:t xml:space="preserve"> Triangle obdržel z 6,278 138 odevzdaných hlasů 6,276 138, tedy 99,97 % hlasů, Isabelle </w:t>
      </w:r>
      <w:proofErr w:type="spellStart"/>
      <w:r w:rsidRPr="00E32378">
        <w:rPr>
          <w:rFonts w:ascii="Times New Roman" w:hAnsi="Times New Roman" w:cs="Times New Roman"/>
        </w:rPr>
        <w:t>Barthès</w:t>
      </w:r>
      <w:proofErr w:type="spellEnd"/>
      <w:r w:rsidRPr="00E32378">
        <w:rPr>
          <w:rFonts w:ascii="Times New Roman" w:hAnsi="Times New Roman" w:cs="Times New Roman"/>
        </w:rPr>
        <w:t xml:space="preserve"> obdržela z 6,279 408 odevzdaných hlasů 6,271 808 hlasů, tedy 99,88 % hlasů a Judith </w:t>
      </w:r>
      <w:proofErr w:type="spellStart"/>
      <w:r w:rsidRPr="00E32378">
        <w:rPr>
          <w:rFonts w:ascii="Times New Roman" w:hAnsi="Times New Roman" w:cs="Times New Roman"/>
        </w:rPr>
        <w:t>Kirton-Darling</w:t>
      </w:r>
      <w:proofErr w:type="spellEnd"/>
      <w:r w:rsidRPr="00E32378">
        <w:rPr>
          <w:rFonts w:ascii="Times New Roman" w:hAnsi="Times New Roman" w:cs="Times New Roman"/>
        </w:rPr>
        <w:t xml:space="preserve"> obdržela z 6,279 408 odevzdaných hlasů 6,276 940 hlasů, tedy 99,96 % hlasů.</w:t>
      </w:r>
    </w:p>
    <w:p w14:paraId="4F34F366" w14:textId="77777777" w:rsidR="00670D87" w:rsidRPr="00E32378" w:rsidRDefault="00670D87" w:rsidP="00670D87">
      <w:pPr>
        <w:jc w:val="both"/>
        <w:rPr>
          <w:rFonts w:ascii="Times New Roman" w:hAnsi="Times New Roman" w:cs="Times New Roman"/>
        </w:rPr>
      </w:pPr>
    </w:p>
    <w:p w14:paraId="3D6A5DD5" w14:textId="77777777" w:rsidR="00670D87" w:rsidRPr="00E32378" w:rsidRDefault="00670D87" w:rsidP="00670D87">
      <w:pPr>
        <w:jc w:val="both"/>
        <w:rPr>
          <w:rFonts w:ascii="Times New Roman" w:hAnsi="Times New Roman" w:cs="Times New Roman"/>
        </w:rPr>
      </w:pPr>
      <w:r w:rsidRPr="00E32378">
        <w:rPr>
          <w:rFonts w:ascii="Times New Roman" w:hAnsi="Times New Roman" w:cs="Times New Roman"/>
        </w:rPr>
        <w:t xml:space="preserve">Dalším bodem III. </w:t>
      </w:r>
      <w:proofErr w:type="spellStart"/>
      <w:r w:rsidRPr="00E32378">
        <w:rPr>
          <w:rFonts w:ascii="Times New Roman" w:hAnsi="Times New Roman" w:cs="Times New Roman"/>
        </w:rPr>
        <w:t>Kondgresu</w:t>
      </w:r>
      <w:proofErr w:type="spellEnd"/>
      <w:r w:rsidRPr="00E32378">
        <w:rPr>
          <w:rFonts w:ascii="Times New Roman" w:hAnsi="Times New Roman" w:cs="Times New Roman"/>
        </w:rPr>
        <w:t xml:space="preserve"> </w:t>
      </w:r>
      <w:proofErr w:type="spellStart"/>
      <w:r w:rsidRPr="00E32378">
        <w:rPr>
          <w:rFonts w:ascii="Times New Roman" w:hAnsi="Times New Roman" w:cs="Times New Roman"/>
        </w:rPr>
        <w:t>IndustriAll</w:t>
      </w:r>
      <w:proofErr w:type="spellEnd"/>
      <w:r w:rsidRPr="00E32378">
        <w:rPr>
          <w:rFonts w:ascii="Times New Roman" w:hAnsi="Times New Roman" w:cs="Times New Roman"/>
        </w:rPr>
        <w:t xml:space="preserve"> bylo představení strategického plánu </w:t>
      </w:r>
      <w:proofErr w:type="spellStart"/>
      <w:r w:rsidRPr="00E32378">
        <w:rPr>
          <w:rFonts w:ascii="Times New Roman" w:hAnsi="Times New Roman" w:cs="Times New Roman"/>
        </w:rPr>
        <w:t>IndustriAll</w:t>
      </w:r>
      <w:proofErr w:type="spellEnd"/>
      <w:r w:rsidRPr="00E32378">
        <w:rPr>
          <w:rFonts w:ascii="Times New Roman" w:hAnsi="Times New Roman" w:cs="Times New Roman"/>
        </w:rPr>
        <w:t xml:space="preserve"> na rok 2021-2023. Hlavním cílem tohoto plánu je samozřejmě soudržnost a společný postup odborů všech členských zemí v rámci oživení průmyslu, který v důsledku pandemie COVID-19 čelí hluboké krizi.  Strategický plán se zaměřuje na pět hlavních priorit a to:</w:t>
      </w:r>
    </w:p>
    <w:p w14:paraId="349E7CB0" w14:textId="77777777" w:rsidR="00670D87" w:rsidRPr="00E32378" w:rsidRDefault="00670D87" w:rsidP="00670D87">
      <w:pPr>
        <w:jc w:val="both"/>
        <w:rPr>
          <w:rFonts w:ascii="Times New Roman" w:hAnsi="Times New Roman" w:cs="Times New Roman"/>
        </w:rPr>
      </w:pPr>
    </w:p>
    <w:p w14:paraId="3F222A47" w14:textId="77777777" w:rsidR="00670D87" w:rsidRPr="00E32378" w:rsidRDefault="00670D87" w:rsidP="00670D87">
      <w:pPr>
        <w:pStyle w:val="Odstavecseseznamem"/>
        <w:numPr>
          <w:ilvl w:val="0"/>
          <w:numId w:val="7"/>
        </w:numPr>
        <w:ind w:left="0"/>
        <w:jc w:val="both"/>
        <w:rPr>
          <w:rFonts w:ascii="Times New Roman" w:hAnsi="Times New Roman" w:cs="Times New Roman"/>
        </w:rPr>
      </w:pPr>
      <w:r w:rsidRPr="00E32378">
        <w:rPr>
          <w:rFonts w:ascii="Times New Roman" w:hAnsi="Times New Roman" w:cs="Times New Roman"/>
        </w:rPr>
        <w:t>silný hlas pracovníků pro silné odbory v práci – sociální dialog, kolektivní vyjednávání,</w:t>
      </w:r>
    </w:p>
    <w:p w14:paraId="1CBCC46E" w14:textId="77777777" w:rsidR="00670D87" w:rsidRPr="00E32378" w:rsidRDefault="00670D87" w:rsidP="00670D87">
      <w:pPr>
        <w:pStyle w:val="Odstavecseseznamem"/>
        <w:numPr>
          <w:ilvl w:val="0"/>
          <w:numId w:val="7"/>
        </w:numPr>
        <w:ind w:left="0"/>
        <w:jc w:val="both"/>
        <w:rPr>
          <w:rFonts w:ascii="Times New Roman" w:hAnsi="Times New Roman" w:cs="Times New Roman"/>
        </w:rPr>
      </w:pPr>
      <w:r w:rsidRPr="00E32378">
        <w:rPr>
          <w:rFonts w:ascii="Times New Roman" w:hAnsi="Times New Roman" w:cs="Times New Roman"/>
        </w:rPr>
        <w:t>silný hlas pracovníků při zajišťování dobrých pracovních míst v silném a udržitelném evropském průmyslu,</w:t>
      </w:r>
    </w:p>
    <w:p w14:paraId="10C87340" w14:textId="77777777" w:rsidR="00670D87" w:rsidRPr="00E32378" w:rsidRDefault="00670D87" w:rsidP="00670D87">
      <w:pPr>
        <w:pStyle w:val="Odstavecseseznamem"/>
        <w:numPr>
          <w:ilvl w:val="0"/>
          <w:numId w:val="7"/>
        </w:numPr>
        <w:ind w:left="0"/>
        <w:jc w:val="both"/>
        <w:rPr>
          <w:rFonts w:ascii="Times New Roman" w:hAnsi="Times New Roman" w:cs="Times New Roman"/>
        </w:rPr>
      </w:pPr>
      <w:r w:rsidRPr="00E32378">
        <w:rPr>
          <w:rFonts w:ascii="Times New Roman" w:hAnsi="Times New Roman" w:cs="Times New Roman"/>
        </w:rPr>
        <w:t>silný hlas pracovníků v oblasti bezpečnosti a zdraví při práci,</w:t>
      </w:r>
    </w:p>
    <w:p w14:paraId="74FA1612" w14:textId="77777777" w:rsidR="00670D87" w:rsidRPr="00E32378" w:rsidRDefault="00670D87" w:rsidP="00670D87">
      <w:pPr>
        <w:pStyle w:val="Odstavecseseznamem"/>
        <w:numPr>
          <w:ilvl w:val="0"/>
          <w:numId w:val="7"/>
        </w:numPr>
        <w:ind w:left="0"/>
        <w:jc w:val="both"/>
        <w:rPr>
          <w:rFonts w:ascii="Times New Roman" w:hAnsi="Times New Roman" w:cs="Times New Roman"/>
        </w:rPr>
      </w:pPr>
      <w:r w:rsidRPr="00E32378">
        <w:rPr>
          <w:rFonts w:ascii="Times New Roman" w:hAnsi="Times New Roman" w:cs="Times New Roman"/>
        </w:rPr>
        <w:t>silný hlas pracovníků za spravedlivou mzdu – otázka evropské minimální mzdy,</w:t>
      </w:r>
    </w:p>
    <w:p w14:paraId="392D96BE" w14:textId="77777777" w:rsidR="00670D87" w:rsidRPr="00E32378" w:rsidRDefault="00670D87" w:rsidP="00670D87">
      <w:pPr>
        <w:pStyle w:val="Odstavecseseznamem"/>
        <w:numPr>
          <w:ilvl w:val="0"/>
          <w:numId w:val="7"/>
        </w:numPr>
        <w:ind w:left="0"/>
        <w:jc w:val="both"/>
        <w:rPr>
          <w:rFonts w:ascii="Times New Roman" w:hAnsi="Times New Roman" w:cs="Times New Roman"/>
        </w:rPr>
      </w:pPr>
      <w:r w:rsidRPr="00E32378">
        <w:rPr>
          <w:rFonts w:ascii="Times New Roman" w:hAnsi="Times New Roman" w:cs="Times New Roman"/>
        </w:rPr>
        <w:t>silný hlas pracovníků potřebuje sociální a demokratickou Evropu postavenou na solidaritě mezi lidmi v krizi a zotavení. Evropské oživení musí přinést solidaritu mezi zeměmi a národy, jakož i obchod založený na všeobecných pravidlech, která chrání lidi a planetu.</w:t>
      </w:r>
    </w:p>
    <w:p w14:paraId="24FCC793" w14:textId="77777777" w:rsidR="00670D87" w:rsidRPr="00E32378" w:rsidRDefault="00670D87" w:rsidP="00670D87">
      <w:pPr>
        <w:pStyle w:val="Odstavecseseznamem"/>
        <w:ind w:left="0"/>
        <w:jc w:val="both"/>
        <w:rPr>
          <w:rFonts w:ascii="Times New Roman" w:hAnsi="Times New Roman" w:cs="Times New Roman"/>
        </w:rPr>
      </w:pPr>
    </w:p>
    <w:p w14:paraId="10810FFF" w14:textId="77777777" w:rsidR="00670D87" w:rsidRPr="00E32378" w:rsidRDefault="00670D87" w:rsidP="00670D87">
      <w:pPr>
        <w:pStyle w:val="Odstavecseseznamem"/>
        <w:ind w:left="0"/>
        <w:jc w:val="both"/>
        <w:rPr>
          <w:rFonts w:ascii="Times New Roman" w:hAnsi="Times New Roman" w:cs="Times New Roman"/>
        </w:rPr>
      </w:pPr>
      <w:r w:rsidRPr="00E32378">
        <w:rPr>
          <w:rFonts w:ascii="Times New Roman" w:hAnsi="Times New Roman" w:cs="Times New Roman"/>
        </w:rPr>
        <w:t>Tento strategický plán byl schválen, žádný z účastníku nebyl proti.</w:t>
      </w:r>
    </w:p>
    <w:p w14:paraId="424F68F4" w14:textId="77777777" w:rsidR="00670D87" w:rsidRPr="00E32378" w:rsidRDefault="00670D87" w:rsidP="00670D87">
      <w:pPr>
        <w:pStyle w:val="Odstavecseseznamem"/>
        <w:ind w:left="0"/>
        <w:jc w:val="both"/>
        <w:rPr>
          <w:rFonts w:ascii="Times New Roman" w:hAnsi="Times New Roman" w:cs="Times New Roman"/>
        </w:rPr>
      </w:pPr>
      <w:r w:rsidRPr="00E32378">
        <w:rPr>
          <w:rFonts w:ascii="Times New Roman" w:hAnsi="Times New Roman" w:cs="Times New Roman"/>
        </w:rPr>
        <w:t xml:space="preserve">Dále se III. </w:t>
      </w:r>
      <w:proofErr w:type="spellStart"/>
      <w:r w:rsidRPr="00E32378">
        <w:rPr>
          <w:rFonts w:ascii="Times New Roman" w:hAnsi="Times New Roman" w:cs="Times New Roman"/>
        </w:rPr>
        <w:t>Kondgresu</w:t>
      </w:r>
      <w:proofErr w:type="spellEnd"/>
      <w:r w:rsidRPr="00E32378">
        <w:rPr>
          <w:rFonts w:ascii="Times New Roman" w:hAnsi="Times New Roman" w:cs="Times New Roman"/>
        </w:rPr>
        <w:t xml:space="preserve"> </w:t>
      </w:r>
      <w:proofErr w:type="spellStart"/>
      <w:r w:rsidRPr="00E32378">
        <w:rPr>
          <w:rFonts w:ascii="Times New Roman" w:hAnsi="Times New Roman" w:cs="Times New Roman"/>
        </w:rPr>
        <w:t>IndustriAll</w:t>
      </w:r>
      <w:proofErr w:type="spellEnd"/>
      <w:r w:rsidRPr="00E32378">
        <w:rPr>
          <w:rFonts w:ascii="Times New Roman" w:hAnsi="Times New Roman" w:cs="Times New Roman"/>
        </w:rPr>
        <w:t xml:space="preserve"> zabýval tématem </w:t>
      </w:r>
      <w:proofErr w:type="gramStart"/>
      <w:r w:rsidRPr="00E32378">
        <w:rPr>
          <w:rFonts w:ascii="Times New Roman" w:hAnsi="Times New Roman" w:cs="Times New Roman"/>
        </w:rPr>
        <w:t>Zelené</w:t>
      </w:r>
      <w:proofErr w:type="gramEnd"/>
      <w:r w:rsidRPr="00E32378">
        <w:rPr>
          <w:rFonts w:ascii="Times New Roman" w:hAnsi="Times New Roman" w:cs="Times New Roman"/>
        </w:rPr>
        <w:t xml:space="preserve"> dohody pro Evropu, problematikou „</w:t>
      </w:r>
      <w:proofErr w:type="spellStart"/>
      <w:r w:rsidRPr="00E32378">
        <w:rPr>
          <w:rFonts w:ascii="Times New Roman" w:hAnsi="Times New Roman" w:cs="Times New Roman"/>
        </w:rPr>
        <w:t>home</w:t>
      </w:r>
      <w:proofErr w:type="spellEnd"/>
      <w:r w:rsidRPr="00E32378">
        <w:rPr>
          <w:rFonts w:ascii="Times New Roman" w:hAnsi="Times New Roman" w:cs="Times New Roman"/>
        </w:rPr>
        <w:t xml:space="preserve"> </w:t>
      </w:r>
      <w:proofErr w:type="spellStart"/>
      <w:r w:rsidRPr="00E32378">
        <w:rPr>
          <w:rFonts w:ascii="Times New Roman" w:hAnsi="Times New Roman" w:cs="Times New Roman"/>
        </w:rPr>
        <w:t>office</w:t>
      </w:r>
      <w:proofErr w:type="spellEnd"/>
      <w:r w:rsidRPr="00E32378">
        <w:rPr>
          <w:rFonts w:ascii="Times New Roman" w:hAnsi="Times New Roman" w:cs="Times New Roman"/>
        </w:rPr>
        <w:t>“ způsobenou pandemií COVID-19 v souvislosti s bezpečností a zdraví při práci a Evropskou minimální mzdou.</w:t>
      </w:r>
    </w:p>
    <w:p w14:paraId="7B7A1EC5" w14:textId="77777777" w:rsidR="00670D87" w:rsidRPr="00E32378" w:rsidRDefault="00670D87" w:rsidP="00670D87">
      <w:pPr>
        <w:jc w:val="both"/>
        <w:rPr>
          <w:rFonts w:ascii="Times New Roman" w:hAnsi="Times New Roman" w:cs="Times New Roman"/>
          <w:b/>
          <w:bCs/>
        </w:rPr>
      </w:pPr>
    </w:p>
    <w:p w14:paraId="16FB6C5F" w14:textId="77777777" w:rsidR="00670D87" w:rsidRPr="00E32378" w:rsidRDefault="00670D87" w:rsidP="00670D87">
      <w:pPr>
        <w:jc w:val="both"/>
        <w:rPr>
          <w:rFonts w:ascii="Times New Roman" w:hAnsi="Times New Roman" w:cs="Times New Roman"/>
        </w:rPr>
      </w:pPr>
      <w:r w:rsidRPr="00E32378">
        <w:rPr>
          <w:rFonts w:ascii="Times New Roman" w:hAnsi="Times New Roman" w:cs="Times New Roman"/>
        </w:rPr>
        <w:t xml:space="preserve">Jednání se za OS zúčastnili Mgr. </w:t>
      </w:r>
      <w:proofErr w:type="spellStart"/>
      <w:r w:rsidRPr="00E32378">
        <w:rPr>
          <w:rFonts w:ascii="Times New Roman" w:hAnsi="Times New Roman" w:cs="Times New Roman"/>
        </w:rPr>
        <w:t>Fedoročko</w:t>
      </w:r>
      <w:proofErr w:type="spellEnd"/>
      <w:r w:rsidRPr="00E32378">
        <w:rPr>
          <w:rFonts w:ascii="Times New Roman" w:hAnsi="Times New Roman" w:cs="Times New Roman"/>
        </w:rPr>
        <w:t xml:space="preserve"> Ondřej, předseda OS, a Hrabě Tereza, specialista pro BOZP a organizační činnost.</w:t>
      </w:r>
    </w:p>
    <w:p w14:paraId="46793547" w14:textId="77777777" w:rsidR="00670D87" w:rsidRPr="00C66AFF" w:rsidRDefault="00670D87" w:rsidP="00670D87">
      <w:pPr>
        <w:jc w:val="both"/>
      </w:pPr>
    </w:p>
    <w:p w14:paraId="32FDCA8C" w14:textId="77777777" w:rsidR="00670D87" w:rsidRPr="00CF7953" w:rsidRDefault="00670D87" w:rsidP="00670D87">
      <w:pPr>
        <w:jc w:val="both"/>
        <w:rPr>
          <w:rFonts w:ascii="Times New Roman" w:hAnsi="Times New Roman" w:cs="Times New Roman"/>
        </w:rPr>
      </w:pPr>
    </w:p>
    <w:p w14:paraId="4D5029F6" w14:textId="77777777" w:rsidR="00670D87" w:rsidRDefault="00670D87" w:rsidP="00670D87">
      <w:pPr>
        <w:pStyle w:val="Normlnweb"/>
        <w:spacing w:before="0" w:beforeAutospacing="0" w:after="240" w:afterAutospacing="0"/>
        <w:jc w:val="both"/>
      </w:pPr>
    </w:p>
    <w:p w14:paraId="176698B0" w14:textId="77777777" w:rsidR="00670D87" w:rsidRDefault="00670D87" w:rsidP="00670D87">
      <w:pPr>
        <w:jc w:val="both"/>
      </w:pPr>
    </w:p>
    <w:p w14:paraId="55FC5501" w14:textId="77777777" w:rsidR="00670D87" w:rsidRDefault="00670D87" w:rsidP="00670D87">
      <w:pPr>
        <w:pStyle w:val="Odstavecseseznamem"/>
      </w:pPr>
    </w:p>
    <w:p w14:paraId="4C55E2A0" w14:textId="77777777" w:rsidR="00670D87" w:rsidRPr="00586C54" w:rsidRDefault="00670D87" w:rsidP="00670D87">
      <w:pPr>
        <w:jc w:val="both"/>
        <w:rPr>
          <w:rFonts w:ascii="Times New Roman" w:hAnsi="Times New Roman" w:cs="Times New Roman"/>
          <w:b/>
          <w:bCs/>
        </w:rPr>
      </w:pPr>
    </w:p>
    <w:p w14:paraId="15E3F71C" w14:textId="77777777" w:rsidR="00670D87" w:rsidRPr="00F401B7" w:rsidRDefault="00670D87" w:rsidP="00670D87">
      <w:pPr>
        <w:jc w:val="both"/>
      </w:pPr>
    </w:p>
    <w:p w14:paraId="658B9E9F" w14:textId="77777777" w:rsidR="00670D87" w:rsidRPr="00766DB6" w:rsidRDefault="00670D87" w:rsidP="00670D87">
      <w:pPr>
        <w:jc w:val="both"/>
        <w:rPr>
          <w:rFonts w:ascii="Times New Roman" w:hAnsi="Times New Roman" w:cs="Times New Roman"/>
        </w:rPr>
      </w:pPr>
    </w:p>
    <w:p w14:paraId="2932C6A7" w14:textId="77777777" w:rsidR="00EB016B" w:rsidRDefault="00EB016B"/>
    <w:sectPr w:rsidR="00EB016B" w:rsidSect="00586C54">
      <w:footerReference w:type="default" r:id="rId7"/>
      <w:pgSz w:w="11900" w:h="16840"/>
      <w:pgMar w:top="1417" w:right="1417" w:bottom="1417"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612941776"/>
      <w:docPartObj>
        <w:docPartGallery w:val="Page Numbers (Bottom of Page)"/>
        <w:docPartUnique/>
      </w:docPartObj>
    </w:sdtPr>
    <w:sdtEndPr>
      <w:rPr>
        <w:rStyle w:val="slostrnky"/>
      </w:rPr>
    </w:sdtEndPr>
    <w:sdtContent>
      <w:p w14:paraId="3F2E995E" w14:textId="77777777" w:rsidR="00586C54" w:rsidRDefault="00670D87" w:rsidP="00ED6259">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79BE8941" w14:textId="77777777" w:rsidR="00586C54" w:rsidRDefault="00670D87" w:rsidP="00586C54">
    <w:pPr>
      <w:pStyle w:val="Zpat"/>
      <w:tabs>
        <w:tab w:val="clear" w:pos="4536"/>
        <w:tab w:val="clear" w:pos="9072"/>
        <w:tab w:val="left" w:pos="5347"/>
      </w:tabs>
    </w:pPr>
    <w: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7842"/>
    <w:multiLevelType w:val="hybridMultilevel"/>
    <w:tmpl w:val="8B4C7D3C"/>
    <w:lvl w:ilvl="0" w:tplc="ED28BC78">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F064866"/>
    <w:multiLevelType w:val="hybridMultilevel"/>
    <w:tmpl w:val="79FC1E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3751F8C"/>
    <w:multiLevelType w:val="hybridMultilevel"/>
    <w:tmpl w:val="CFCA24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00060B5"/>
    <w:multiLevelType w:val="hybridMultilevel"/>
    <w:tmpl w:val="70CE1262"/>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68CB0166"/>
    <w:multiLevelType w:val="hybridMultilevel"/>
    <w:tmpl w:val="4A90E9DE"/>
    <w:lvl w:ilvl="0" w:tplc="ED28BC78">
      <w:start w:val="1"/>
      <w:numFmt w:val="bullet"/>
      <w:lvlText w:val="o"/>
      <w:lvlJc w:val="left"/>
      <w:pPr>
        <w:ind w:left="1068" w:hanging="360"/>
      </w:pPr>
      <w:rPr>
        <w:rFonts w:ascii="Courier New" w:hAnsi="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6C082F36"/>
    <w:multiLevelType w:val="multilevel"/>
    <w:tmpl w:val="DCAA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6B0C0F"/>
    <w:multiLevelType w:val="multilevel"/>
    <w:tmpl w:val="AFA4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D87"/>
    <w:rsid w:val="00670D87"/>
    <w:rsid w:val="00EB016B"/>
    <w:rsid w:val="00FA17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210C7E01"/>
  <w15:chartTrackingRefBased/>
  <w15:docId w15:val="{2F4314F8-8D83-2D4A-BB7E-7C74A55B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0D8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70D87"/>
    <w:pPr>
      <w:ind w:left="720"/>
      <w:contextualSpacing/>
    </w:pPr>
  </w:style>
  <w:style w:type="paragraph" w:styleId="Normlnweb">
    <w:name w:val="Normal (Web)"/>
    <w:basedOn w:val="Normln"/>
    <w:uiPriority w:val="99"/>
    <w:unhideWhenUsed/>
    <w:rsid w:val="00670D87"/>
    <w:pPr>
      <w:spacing w:before="100" w:beforeAutospacing="1" w:after="100" w:afterAutospacing="1"/>
    </w:pPr>
    <w:rPr>
      <w:rFonts w:ascii="Times New Roman" w:eastAsia="Times New Roman" w:hAnsi="Times New Roman" w:cs="Times New Roman"/>
      <w:lang w:eastAsia="cs-CZ"/>
    </w:rPr>
  </w:style>
  <w:style w:type="table" w:styleId="Mkatabulky">
    <w:name w:val="Table Grid"/>
    <w:basedOn w:val="Normlntabulka"/>
    <w:uiPriority w:val="39"/>
    <w:rsid w:val="00670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670D87"/>
    <w:pPr>
      <w:tabs>
        <w:tab w:val="center" w:pos="4536"/>
        <w:tab w:val="right" w:pos="9072"/>
      </w:tabs>
    </w:pPr>
  </w:style>
  <w:style w:type="character" w:customStyle="1" w:styleId="ZpatChar">
    <w:name w:val="Zápatí Char"/>
    <w:basedOn w:val="Standardnpsmoodstavce"/>
    <w:link w:val="Zpat"/>
    <w:uiPriority w:val="99"/>
    <w:rsid w:val="00670D87"/>
  </w:style>
  <w:style w:type="character" w:styleId="slostrnky">
    <w:name w:val="page number"/>
    <w:basedOn w:val="Standardnpsmoodstavce"/>
    <w:uiPriority w:val="99"/>
    <w:semiHidden/>
    <w:unhideWhenUsed/>
    <w:rsid w:val="00670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6360</Words>
  <Characters>37529</Characters>
  <Application>Microsoft Office Word</Application>
  <DocSecurity>0</DocSecurity>
  <Lines>312</Lines>
  <Paragraphs>87</Paragraphs>
  <ScaleCrop>false</ScaleCrop>
  <Company/>
  <LinksUpToDate>false</LinksUpToDate>
  <CharactersWithSpaces>43802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Kubincová</dc:creator>
  <cp:keywords/>
  <dc:description/>
  <cp:lastModifiedBy>Tereza Kubincová</cp:lastModifiedBy>
  <cp:revision>1</cp:revision>
  <dcterms:created xsi:type="dcterms:W3CDTF">2021-06-21T10:30:00Z</dcterms:created>
  <dcterms:modified xsi:type="dcterms:W3CDTF">2021-06-21T10:32:00Z</dcterms:modified>
</cp:coreProperties>
</file>